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7E" w:rsidRDefault="007E7DCB" w:rsidP="00C6717E">
      <w:pPr>
        <w:jc w:val="center"/>
        <w:rPr>
          <w:sz w:val="22"/>
          <w:szCs w:val="22"/>
        </w:rPr>
      </w:pPr>
      <w:r w:rsidRPr="00890507">
        <w:rPr>
          <w:b/>
          <w:sz w:val="22"/>
          <w:szCs w:val="22"/>
        </w:rPr>
        <w:t>Spatial Variation of the CMB</w:t>
      </w:r>
      <w:r w:rsidR="00A45566">
        <w:rPr>
          <w:b/>
          <w:sz w:val="22"/>
          <w:szCs w:val="22"/>
        </w:rPr>
        <w:t xml:space="preserve"> Temperature</w:t>
      </w:r>
    </w:p>
    <w:p w:rsidR="00C6717E" w:rsidRDefault="00C6717E" w:rsidP="007E7DCB">
      <w:pPr>
        <w:rPr>
          <w:sz w:val="22"/>
          <w:szCs w:val="22"/>
        </w:rPr>
      </w:pPr>
    </w:p>
    <w:p w:rsidR="007E7DCB" w:rsidRDefault="007E7DCB" w:rsidP="007E7DCB">
      <w:pPr>
        <w:rPr>
          <w:sz w:val="22"/>
          <w:szCs w:val="22"/>
        </w:rPr>
      </w:pPr>
      <w:r>
        <w:rPr>
          <w:sz w:val="22"/>
          <w:szCs w:val="22"/>
        </w:rPr>
        <w:t xml:space="preserve">The spatial variation in the temperature of the CMBR </w:t>
      </w:r>
      <w:proofErr w:type="gramStart"/>
      <w:r>
        <w:rPr>
          <w:sz w:val="22"/>
          <w:szCs w:val="22"/>
        </w:rPr>
        <w:t xml:space="preserve">was </w:t>
      </w:r>
      <w:r w:rsidR="000D36A8">
        <w:rPr>
          <w:sz w:val="22"/>
          <w:szCs w:val="22"/>
        </w:rPr>
        <w:t xml:space="preserve">first </w:t>
      </w:r>
      <w:r>
        <w:rPr>
          <w:sz w:val="22"/>
          <w:szCs w:val="22"/>
        </w:rPr>
        <w:t>measured</w:t>
      </w:r>
      <w:proofErr w:type="gramEnd"/>
      <w:r>
        <w:rPr>
          <w:sz w:val="22"/>
          <w:szCs w:val="22"/>
        </w:rPr>
        <w:t xml:space="preserve"> by the Wilkinson Microwave Anisotropy Probe (WMAP)</w:t>
      </w:r>
      <w:r w:rsidR="000D36A8">
        <w:rPr>
          <w:sz w:val="22"/>
          <w:szCs w:val="22"/>
        </w:rPr>
        <w:t>, and again with greater precision by the ESA Planck satellite</w:t>
      </w:r>
      <w:r>
        <w:rPr>
          <w:sz w:val="22"/>
          <w:szCs w:val="22"/>
        </w:rPr>
        <w:t xml:space="preserve">.  Astronomers can study the distribution of matter at </w:t>
      </w:r>
      <w:r w:rsidR="00E42F94">
        <w:rPr>
          <w:sz w:val="22"/>
          <w:szCs w:val="22"/>
        </w:rPr>
        <w:t>recombination</w:t>
      </w:r>
      <w:r>
        <w:rPr>
          <w:sz w:val="22"/>
          <w:szCs w:val="22"/>
        </w:rPr>
        <w:t xml:space="preserve"> by looking at how the temperature varies from point to point in the sky.  </w:t>
      </w:r>
      <w:r w:rsidR="00E42F94">
        <w:rPr>
          <w:sz w:val="22"/>
          <w:szCs w:val="22"/>
        </w:rPr>
        <w:t>Specifically, astronomers compute a t</w:t>
      </w:r>
      <w:r w:rsidR="0019042B">
        <w:rPr>
          <w:sz w:val="22"/>
          <w:szCs w:val="22"/>
        </w:rPr>
        <w:t>emperature fluctuation spectrum</w:t>
      </w:r>
      <w:r w:rsidR="00E42F94">
        <w:rPr>
          <w:sz w:val="22"/>
          <w:szCs w:val="22"/>
        </w:rPr>
        <w:t xml:space="preserve"> that measures the relative number of blobs of different sizes.  </w:t>
      </w:r>
      <w:r>
        <w:rPr>
          <w:sz w:val="22"/>
          <w:szCs w:val="22"/>
        </w:rPr>
        <w:t xml:space="preserve"> </w:t>
      </w:r>
    </w:p>
    <w:p w:rsidR="00E42F94" w:rsidRDefault="00E42F94" w:rsidP="007E7DCB">
      <w:pPr>
        <w:rPr>
          <w:sz w:val="22"/>
          <w:szCs w:val="22"/>
        </w:rPr>
      </w:pPr>
    </w:p>
    <w:p w:rsidR="00E42F94" w:rsidRDefault="00E42F94" w:rsidP="007E7DC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Using a section of the WMAP image of the CMB radiation,</w:t>
      </w:r>
      <w:r w:rsidR="00EE252A">
        <w:rPr>
          <w:sz w:val="22"/>
          <w:szCs w:val="22"/>
        </w:rPr>
        <w:t xml:space="preserve"> count the number of blobs with sizes of 1.5 cm, 1 cm, 0.5 cm, and 0.25 cm.</w:t>
      </w:r>
      <w:proofErr w:type="gramEnd"/>
      <w:r w:rsidR="000C3912">
        <w:rPr>
          <w:sz w:val="22"/>
          <w:szCs w:val="22"/>
        </w:rPr>
        <w:t xml:space="preserve"> </w:t>
      </w:r>
      <w:r w:rsidR="00470C9F">
        <w:rPr>
          <w:sz w:val="22"/>
          <w:szCs w:val="22"/>
        </w:rPr>
        <w:t xml:space="preserve"> </w:t>
      </w:r>
      <w:r w:rsidR="000C3912">
        <w:rPr>
          <w:sz w:val="22"/>
          <w:szCs w:val="22"/>
        </w:rPr>
        <w:t>These sizes correspond to angles on the sky of 6</w:t>
      </w:r>
      <w:r w:rsidR="001C46D6">
        <w:rPr>
          <w:sz w:val="22"/>
          <w:szCs w:val="22"/>
        </w:rPr>
        <w:t>°</w:t>
      </w:r>
      <w:r w:rsidR="000C3912">
        <w:rPr>
          <w:sz w:val="22"/>
          <w:szCs w:val="22"/>
        </w:rPr>
        <w:t>, 4</w:t>
      </w:r>
      <w:r w:rsidR="001C46D6">
        <w:rPr>
          <w:sz w:val="22"/>
          <w:szCs w:val="22"/>
        </w:rPr>
        <w:t>°</w:t>
      </w:r>
      <w:r w:rsidR="000C3912">
        <w:rPr>
          <w:sz w:val="22"/>
          <w:szCs w:val="22"/>
        </w:rPr>
        <w:t>, 2</w:t>
      </w:r>
      <w:r w:rsidR="001C46D6">
        <w:rPr>
          <w:sz w:val="22"/>
          <w:szCs w:val="22"/>
        </w:rPr>
        <w:t>°</w:t>
      </w:r>
      <w:r w:rsidR="000C3912">
        <w:rPr>
          <w:sz w:val="22"/>
          <w:szCs w:val="22"/>
        </w:rPr>
        <w:t xml:space="preserve"> and 1</w:t>
      </w:r>
      <w:proofErr w:type="gramStart"/>
      <w:r w:rsidR="001C46D6">
        <w:rPr>
          <w:sz w:val="22"/>
          <w:szCs w:val="22"/>
        </w:rPr>
        <w:t>°</w:t>
      </w:r>
      <w:r w:rsidR="000C3912">
        <w:rPr>
          <w:sz w:val="22"/>
          <w:szCs w:val="22"/>
        </w:rPr>
        <w:t xml:space="preserve"> </w:t>
      </w:r>
      <w:r w:rsidR="001C46D6">
        <w:rPr>
          <w:sz w:val="22"/>
          <w:szCs w:val="22"/>
        </w:rPr>
        <w:t xml:space="preserve"> </w:t>
      </w:r>
      <w:r w:rsidR="00470C9F">
        <w:rPr>
          <w:sz w:val="22"/>
          <w:szCs w:val="22"/>
        </w:rPr>
        <w:t>(</w:t>
      </w:r>
      <w:proofErr w:type="gramEnd"/>
      <w:r w:rsidR="00470C9F">
        <w:rPr>
          <w:sz w:val="22"/>
          <w:szCs w:val="22"/>
        </w:rPr>
        <w:t>a</w:t>
      </w:r>
      <w:r w:rsidR="001C46D6">
        <w:rPr>
          <w:sz w:val="22"/>
          <w:szCs w:val="22"/>
        </w:rPr>
        <w:t xml:space="preserve">n angle of </w:t>
      </w:r>
      <w:r w:rsidR="000C3912">
        <w:rPr>
          <w:sz w:val="22"/>
          <w:szCs w:val="22"/>
        </w:rPr>
        <w:t>1</w:t>
      </w:r>
      <w:r w:rsidR="001C46D6">
        <w:rPr>
          <w:sz w:val="22"/>
          <w:szCs w:val="22"/>
        </w:rPr>
        <w:t>°</w:t>
      </w:r>
      <w:r w:rsidR="000C3912">
        <w:rPr>
          <w:sz w:val="22"/>
          <w:szCs w:val="22"/>
        </w:rPr>
        <w:t xml:space="preserve"> is twice the diameter of the full moon</w:t>
      </w:r>
      <w:r w:rsidR="00470C9F">
        <w:rPr>
          <w:sz w:val="22"/>
          <w:szCs w:val="22"/>
        </w:rPr>
        <w:t>)</w:t>
      </w:r>
      <w:r w:rsidR="000C3912">
        <w:rPr>
          <w:sz w:val="22"/>
          <w:szCs w:val="22"/>
        </w:rPr>
        <w:t>.</w:t>
      </w:r>
      <w:r w:rsidR="00470C9F">
        <w:rPr>
          <w:sz w:val="22"/>
          <w:szCs w:val="22"/>
        </w:rPr>
        <w:t xml:space="preserve">  Include both lower temperature blobs (darker blue) and warmer temperature blobs (yellow, orange, red).</w:t>
      </w:r>
    </w:p>
    <w:p w:rsidR="001C46D6" w:rsidRDefault="001C46D6" w:rsidP="007E7DCB">
      <w:pPr>
        <w:rPr>
          <w:sz w:val="22"/>
          <w:szCs w:val="22"/>
        </w:rPr>
      </w:pPr>
    </w:p>
    <w:p w:rsidR="001C46D6" w:rsidRDefault="001C46D6" w:rsidP="007E7DCB">
      <w:pPr>
        <w:rPr>
          <w:sz w:val="22"/>
          <w:szCs w:val="22"/>
        </w:rPr>
      </w:pPr>
      <w:r>
        <w:rPr>
          <w:sz w:val="22"/>
          <w:szCs w:val="22"/>
        </w:rPr>
        <w:t xml:space="preserve">To keep track of what you are doing, circle the blobs as you count them.  </w:t>
      </w:r>
    </w:p>
    <w:p w:rsidR="000C3912" w:rsidRDefault="000C3912" w:rsidP="007E7DCB">
      <w:pPr>
        <w:rPr>
          <w:sz w:val="22"/>
          <w:szCs w:val="22"/>
        </w:rPr>
      </w:pPr>
    </w:p>
    <w:p w:rsidR="000C3912" w:rsidRDefault="000C3912" w:rsidP="007E7DCB">
      <w:pPr>
        <w:rPr>
          <w:sz w:val="22"/>
          <w:szCs w:val="22"/>
        </w:rPr>
      </w:pPr>
      <w:r>
        <w:rPr>
          <w:sz w:val="22"/>
          <w:szCs w:val="22"/>
        </w:rPr>
        <w:t xml:space="preserve">Enter your data in the </w:t>
      </w:r>
      <w:r w:rsidR="001C46D6">
        <w:rPr>
          <w:sz w:val="22"/>
          <w:szCs w:val="22"/>
        </w:rPr>
        <w:t xml:space="preserve">second row of the </w:t>
      </w:r>
      <w:r>
        <w:rPr>
          <w:sz w:val="22"/>
          <w:szCs w:val="22"/>
        </w:rPr>
        <w:t xml:space="preserve">table </w:t>
      </w:r>
      <w:r w:rsidR="001C46D6">
        <w:rPr>
          <w:sz w:val="22"/>
          <w:szCs w:val="22"/>
        </w:rPr>
        <w:t>on the next page</w:t>
      </w:r>
      <w:r>
        <w:rPr>
          <w:sz w:val="22"/>
          <w:szCs w:val="22"/>
        </w:rPr>
        <w:t>.</w:t>
      </w:r>
      <w:r w:rsidR="001C46D6" w:rsidRPr="001C46D6">
        <w:rPr>
          <w:sz w:val="22"/>
          <w:szCs w:val="22"/>
        </w:rPr>
        <w:t xml:space="preserve"> </w:t>
      </w:r>
      <w:r w:rsidR="001C46D6">
        <w:rPr>
          <w:sz w:val="22"/>
          <w:szCs w:val="22"/>
        </w:rPr>
        <w:t xml:space="preserve"> Work with other students with different sections of the WMAP image to fill in additional rows of the table – at least three image sections.</w:t>
      </w:r>
    </w:p>
    <w:tbl>
      <w:tblPr>
        <w:tblStyle w:val="TableGrid"/>
        <w:tblpPr w:leftFromText="180" w:rightFromText="180" w:vertAnchor="text" w:horzAnchor="margin" w:tblpY="408"/>
        <w:tblW w:w="0" w:type="auto"/>
        <w:tblLook w:val="04A0"/>
      </w:tblPr>
      <w:tblGrid>
        <w:gridCol w:w="1548"/>
        <w:gridCol w:w="1980"/>
        <w:gridCol w:w="1890"/>
        <w:gridCol w:w="1980"/>
        <w:gridCol w:w="2250"/>
      </w:tblGrid>
      <w:tr w:rsidR="00257337" w:rsidTr="00257337">
        <w:tc>
          <w:tcPr>
            <w:tcW w:w="1548" w:type="dxa"/>
            <w:vAlign w:val="center"/>
          </w:tcPr>
          <w:p w:rsidR="00257337" w:rsidRPr="00470C9F" w:rsidRDefault="00257337" w:rsidP="00257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>Map Section Number</w:t>
            </w:r>
          </w:p>
        </w:tc>
        <w:tc>
          <w:tcPr>
            <w:tcW w:w="1980" w:type="dxa"/>
            <w:vAlign w:val="center"/>
          </w:tcPr>
          <w:p w:rsidR="00257337" w:rsidRPr="00470C9F" w:rsidRDefault="00257337" w:rsidP="00257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 xml:space="preserve">Number of </w:t>
            </w:r>
          </w:p>
          <w:p w:rsidR="00257337" w:rsidRPr="00470C9F" w:rsidRDefault="00257337" w:rsidP="00257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>1.5 cm (6°) blobs</w:t>
            </w:r>
          </w:p>
        </w:tc>
        <w:tc>
          <w:tcPr>
            <w:tcW w:w="1890" w:type="dxa"/>
            <w:vAlign w:val="center"/>
          </w:tcPr>
          <w:p w:rsidR="00257337" w:rsidRPr="00470C9F" w:rsidRDefault="00257337" w:rsidP="00257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 xml:space="preserve">Number of </w:t>
            </w:r>
          </w:p>
          <w:p w:rsidR="00257337" w:rsidRPr="00470C9F" w:rsidRDefault="00257337" w:rsidP="00257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>1 cm (4°) blobs</w:t>
            </w:r>
          </w:p>
        </w:tc>
        <w:tc>
          <w:tcPr>
            <w:tcW w:w="1980" w:type="dxa"/>
            <w:vAlign w:val="center"/>
          </w:tcPr>
          <w:p w:rsidR="00257337" w:rsidRPr="00470C9F" w:rsidRDefault="00257337" w:rsidP="00257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 xml:space="preserve">Number of </w:t>
            </w:r>
          </w:p>
          <w:p w:rsidR="00257337" w:rsidRPr="00470C9F" w:rsidRDefault="00257337" w:rsidP="00257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>0.5 cm ( 2°) blobs</w:t>
            </w:r>
          </w:p>
        </w:tc>
        <w:tc>
          <w:tcPr>
            <w:tcW w:w="2250" w:type="dxa"/>
            <w:vAlign w:val="center"/>
          </w:tcPr>
          <w:p w:rsidR="00257337" w:rsidRPr="00470C9F" w:rsidRDefault="00257337" w:rsidP="00257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 xml:space="preserve">Number of </w:t>
            </w:r>
          </w:p>
          <w:p w:rsidR="00257337" w:rsidRPr="00470C9F" w:rsidRDefault="00257337" w:rsidP="00257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>0.25 cm (1°) blobs</w:t>
            </w:r>
          </w:p>
        </w:tc>
      </w:tr>
      <w:tr w:rsidR="00257337" w:rsidTr="00257337">
        <w:trPr>
          <w:trHeight w:val="548"/>
        </w:trPr>
        <w:tc>
          <w:tcPr>
            <w:tcW w:w="1548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57337" w:rsidTr="00257337">
        <w:trPr>
          <w:trHeight w:val="548"/>
        </w:trPr>
        <w:tc>
          <w:tcPr>
            <w:tcW w:w="1548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57337" w:rsidTr="00257337">
        <w:trPr>
          <w:trHeight w:val="548"/>
        </w:trPr>
        <w:tc>
          <w:tcPr>
            <w:tcW w:w="1548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57337" w:rsidTr="00257337">
        <w:trPr>
          <w:trHeight w:val="548"/>
        </w:trPr>
        <w:tc>
          <w:tcPr>
            <w:tcW w:w="1548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57337" w:rsidTr="00257337">
        <w:trPr>
          <w:trHeight w:val="548"/>
        </w:trPr>
        <w:tc>
          <w:tcPr>
            <w:tcW w:w="1548" w:type="dxa"/>
            <w:vAlign w:val="center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  <w:r w:rsidRPr="00470C9F">
              <w:rPr>
                <w:color w:val="000000" w:themeColor="text1"/>
                <w:sz w:val="22"/>
                <w:szCs w:val="22"/>
              </w:rPr>
              <w:t xml:space="preserve">Sum of blobs from map sections </w:t>
            </w: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</w:tcPr>
          <w:p w:rsidR="00257337" w:rsidRPr="00470C9F" w:rsidRDefault="00257337" w:rsidP="0025733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C3912" w:rsidRDefault="000C3912" w:rsidP="007E7DCB">
      <w:pPr>
        <w:rPr>
          <w:sz w:val="22"/>
          <w:szCs w:val="22"/>
        </w:rPr>
      </w:pPr>
    </w:p>
    <w:p w:rsidR="001C46D6" w:rsidRDefault="00257337">
      <w:r w:rsidRPr="00257337">
        <w:rPr>
          <w:noProof/>
        </w:rPr>
        <w:lastRenderedPageBreak/>
        <w:drawing>
          <wp:inline distT="0" distB="0" distL="0" distR="0">
            <wp:extent cx="5943600" cy="5880735"/>
            <wp:effectExtent l="19050" t="0" r="0" b="0"/>
            <wp:docPr id="2" name="Picture 1" descr="wmap_crop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5" descr="wmap_crop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46D6">
        <w:br w:type="page"/>
      </w:r>
    </w:p>
    <w:p w:rsidR="000C3912" w:rsidRPr="001C46D6" w:rsidRDefault="000C3912" w:rsidP="007E7DCB">
      <w:pPr>
        <w:rPr>
          <w:sz w:val="22"/>
          <w:szCs w:val="22"/>
        </w:rPr>
      </w:pPr>
    </w:p>
    <w:p w:rsidR="00C526A4" w:rsidRPr="001C46D6" w:rsidRDefault="00C526A4" w:rsidP="00C526A4">
      <w:pPr>
        <w:rPr>
          <w:sz w:val="22"/>
          <w:szCs w:val="22"/>
        </w:rPr>
      </w:pPr>
    </w:p>
    <w:p w:rsidR="001C46D6" w:rsidRPr="001C46D6" w:rsidRDefault="001C46D6" w:rsidP="00C526A4">
      <w:pPr>
        <w:rPr>
          <w:sz w:val="22"/>
          <w:szCs w:val="22"/>
        </w:rPr>
      </w:pPr>
      <w:r w:rsidRPr="001C46D6">
        <w:rPr>
          <w:sz w:val="22"/>
          <w:szCs w:val="22"/>
        </w:rPr>
        <w:t>Add up</w:t>
      </w:r>
      <w:r w:rsidR="00470C9F">
        <w:rPr>
          <w:sz w:val="22"/>
          <w:szCs w:val="22"/>
        </w:rPr>
        <w:t xml:space="preserve"> the number of blobs of each size from at least three map sections, and plot the result in the chart below.</w:t>
      </w:r>
      <w:r w:rsidR="00A45566">
        <w:rPr>
          <w:sz w:val="22"/>
          <w:szCs w:val="22"/>
        </w:rPr>
        <w:t xml:space="preserve">  You will need to add a scale on the vertical axis depending on the largest number of blobs you find.</w:t>
      </w:r>
    </w:p>
    <w:p w:rsidR="001C46D6" w:rsidRDefault="001C46D6" w:rsidP="00C526A4">
      <w:pPr>
        <w:rPr>
          <w:sz w:val="22"/>
          <w:szCs w:val="22"/>
        </w:rPr>
      </w:pPr>
    </w:p>
    <w:p w:rsidR="00470C9F" w:rsidRDefault="00470C9F" w:rsidP="00A45566">
      <w:pPr>
        <w:jc w:val="center"/>
        <w:rPr>
          <w:sz w:val="22"/>
          <w:szCs w:val="22"/>
        </w:rPr>
      </w:pPr>
      <w:r w:rsidRPr="00470C9F">
        <w:rPr>
          <w:noProof/>
          <w:sz w:val="22"/>
          <w:szCs w:val="22"/>
        </w:rPr>
        <w:drawing>
          <wp:inline distT="0" distB="0" distL="0" distR="0">
            <wp:extent cx="4572000" cy="2743200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5566" w:rsidRDefault="00A45566" w:rsidP="00A45566">
      <w:pPr>
        <w:jc w:val="center"/>
        <w:rPr>
          <w:sz w:val="22"/>
          <w:szCs w:val="22"/>
        </w:rPr>
      </w:pPr>
    </w:p>
    <w:p w:rsidR="00A45566" w:rsidRDefault="00A45566" w:rsidP="00A45566">
      <w:pPr>
        <w:jc w:val="center"/>
        <w:rPr>
          <w:sz w:val="22"/>
          <w:szCs w:val="22"/>
        </w:rPr>
      </w:pPr>
    </w:p>
    <w:p w:rsidR="00A45566" w:rsidRDefault="00A45566" w:rsidP="00A45566">
      <w:pPr>
        <w:rPr>
          <w:sz w:val="22"/>
          <w:szCs w:val="22"/>
        </w:rPr>
      </w:pPr>
      <w:r>
        <w:rPr>
          <w:sz w:val="22"/>
          <w:szCs w:val="22"/>
        </w:rPr>
        <w:t>How does the number of blobs depend on the size of the blob?</w:t>
      </w:r>
    </w:p>
    <w:p w:rsidR="00A45566" w:rsidRDefault="00A45566" w:rsidP="00A45566">
      <w:pPr>
        <w:rPr>
          <w:sz w:val="22"/>
          <w:szCs w:val="22"/>
        </w:rPr>
      </w:pPr>
    </w:p>
    <w:p w:rsidR="00A45566" w:rsidRDefault="00A45566" w:rsidP="00A45566">
      <w:pPr>
        <w:rPr>
          <w:sz w:val="22"/>
          <w:szCs w:val="22"/>
        </w:rPr>
      </w:pPr>
    </w:p>
    <w:p w:rsidR="00470C9F" w:rsidRDefault="00470C9F" w:rsidP="00C526A4">
      <w:pPr>
        <w:rPr>
          <w:sz w:val="22"/>
          <w:szCs w:val="22"/>
        </w:rPr>
      </w:pPr>
    </w:p>
    <w:p w:rsidR="00470C9F" w:rsidRPr="001C46D6" w:rsidRDefault="00470C9F" w:rsidP="00C526A4">
      <w:pPr>
        <w:rPr>
          <w:sz w:val="22"/>
          <w:szCs w:val="22"/>
        </w:rPr>
      </w:pPr>
    </w:p>
    <w:p w:rsidR="00A45566" w:rsidRDefault="00A45566">
      <w:pPr>
        <w:rPr>
          <w:b/>
          <w:sz w:val="22"/>
          <w:szCs w:val="22"/>
        </w:rPr>
      </w:pPr>
    </w:p>
    <w:sectPr w:rsidR="00A45566" w:rsidSect="00072EC6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18" w:rsidRDefault="007C4318">
      <w:r>
        <w:separator/>
      </w:r>
    </w:p>
  </w:endnote>
  <w:endnote w:type="continuationSeparator" w:id="0">
    <w:p w:rsidR="007C4318" w:rsidRDefault="007C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18" w:rsidRDefault="007C4318">
      <w:r>
        <w:separator/>
      </w:r>
    </w:p>
  </w:footnote>
  <w:footnote w:type="continuationSeparator" w:id="0">
    <w:p w:rsidR="007C4318" w:rsidRDefault="007C4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16A"/>
    <w:multiLevelType w:val="multilevel"/>
    <w:tmpl w:val="FAFC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18EC"/>
    <w:multiLevelType w:val="multilevel"/>
    <w:tmpl w:val="9F4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74EF9"/>
    <w:multiLevelType w:val="multilevel"/>
    <w:tmpl w:val="DC2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>
    <w:nsid w:val="35C92FD5"/>
    <w:multiLevelType w:val="multilevel"/>
    <w:tmpl w:val="577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8517E"/>
    <w:multiLevelType w:val="hybridMultilevel"/>
    <w:tmpl w:val="43D0C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C7DDB"/>
    <w:multiLevelType w:val="multilevel"/>
    <w:tmpl w:val="10C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43E4B"/>
    <w:multiLevelType w:val="multilevel"/>
    <w:tmpl w:val="01E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294"/>
    <w:multiLevelType w:val="hybridMultilevel"/>
    <w:tmpl w:val="EF60C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BA4AED"/>
    <w:multiLevelType w:val="multilevel"/>
    <w:tmpl w:val="3BB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60957"/>
    <w:multiLevelType w:val="hybridMultilevel"/>
    <w:tmpl w:val="D930B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0391F"/>
    <w:multiLevelType w:val="multilevel"/>
    <w:tmpl w:val="2F8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24869"/>
    <w:rsid w:val="00041141"/>
    <w:rsid w:val="00042E50"/>
    <w:rsid w:val="00064939"/>
    <w:rsid w:val="00072EC6"/>
    <w:rsid w:val="00073341"/>
    <w:rsid w:val="000831C8"/>
    <w:rsid w:val="00092876"/>
    <w:rsid w:val="000A37B1"/>
    <w:rsid w:val="000A5AA4"/>
    <w:rsid w:val="000B1E3C"/>
    <w:rsid w:val="000C3912"/>
    <w:rsid w:val="000D14F7"/>
    <w:rsid w:val="000D36A8"/>
    <w:rsid w:val="000D4685"/>
    <w:rsid w:val="000E3E48"/>
    <w:rsid w:val="000E4003"/>
    <w:rsid w:val="00103170"/>
    <w:rsid w:val="0011220D"/>
    <w:rsid w:val="00112A6E"/>
    <w:rsid w:val="00120B02"/>
    <w:rsid w:val="001249FB"/>
    <w:rsid w:val="00126D63"/>
    <w:rsid w:val="00141E5B"/>
    <w:rsid w:val="00145548"/>
    <w:rsid w:val="001456E0"/>
    <w:rsid w:val="00151B8A"/>
    <w:rsid w:val="001557C7"/>
    <w:rsid w:val="0016380D"/>
    <w:rsid w:val="001645B1"/>
    <w:rsid w:val="00164F5B"/>
    <w:rsid w:val="00171A11"/>
    <w:rsid w:val="00172ABF"/>
    <w:rsid w:val="00186131"/>
    <w:rsid w:val="0019042B"/>
    <w:rsid w:val="00194923"/>
    <w:rsid w:val="001B56B5"/>
    <w:rsid w:val="001B782B"/>
    <w:rsid w:val="001C098D"/>
    <w:rsid w:val="001C46D6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500E6"/>
    <w:rsid w:val="00257337"/>
    <w:rsid w:val="00263BFD"/>
    <w:rsid w:val="002768AD"/>
    <w:rsid w:val="002827E8"/>
    <w:rsid w:val="002853B2"/>
    <w:rsid w:val="00287A95"/>
    <w:rsid w:val="002905C3"/>
    <w:rsid w:val="002F1431"/>
    <w:rsid w:val="002F51C3"/>
    <w:rsid w:val="00321CD5"/>
    <w:rsid w:val="00331395"/>
    <w:rsid w:val="0034273A"/>
    <w:rsid w:val="00342AFC"/>
    <w:rsid w:val="003447BC"/>
    <w:rsid w:val="00377181"/>
    <w:rsid w:val="003944DF"/>
    <w:rsid w:val="003B19F4"/>
    <w:rsid w:val="003C660C"/>
    <w:rsid w:val="003E4609"/>
    <w:rsid w:val="003E7F57"/>
    <w:rsid w:val="003F0537"/>
    <w:rsid w:val="00413A4C"/>
    <w:rsid w:val="004151BA"/>
    <w:rsid w:val="00421EF6"/>
    <w:rsid w:val="004303A9"/>
    <w:rsid w:val="00444F2C"/>
    <w:rsid w:val="004507D4"/>
    <w:rsid w:val="00470C9F"/>
    <w:rsid w:val="0047620D"/>
    <w:rsid w:val="004A7C2B"/>
    <w:rsid w:val="004C0821"/>
    <w:rsid w:val="004F0F2F"/>
    <w:rsid w:val="00505433"/>
    <w:rsid w:val="005263D6"/>
    <w:rsid w:val="00531ACA"/>
    <w:rsid w:val="00542618"/>
    <w:rsid w:val="00567578"/>
    <w:rsid w:val="00567958"/>
    <w:rsid w:val="00586803"/>
    <w:rsid w:val="00587611"/>
    <w:rsid w:val="00592992"/>
    <w:rsid w:val="005A467C"/>
    <w:rsid w:val="005B0384"/>
    <w:rsid w:val="005E26E1"/>
    <w:rsid w:val="005E738A"/>
    <w:rsid w:val="005F6901"/>
    <w:rsid w:val="00607890"/>
    <w:rsid w:val="00612697"/>
    <w:rsid w:val="00613C9A"/>
    <w:rsid w:val="0062411C"/>
    <w:rsid w:val="00624DAF"/>
    <w:rsid w:val="006266DF"/>
    <w:rsid w:val="00626C18"/>
    <w:rsid w:val="00630D7A"/>
    <w:rsid w:val="00640336"/>
    <w:rsid w:val="006436B1"/>
    <w:rsid w:val="00643D0B"/>
    <w:rsid w:val="00644C7C"/>
    <w:rsid w:val="006602E6"/>
    <w:rsid w:val="006659F5"/>
    <w:rsid w:val="0067092B"/>
    <w:rsid w:val="006768E0"/>
    <w:rsid w:val="00683307"/>
    <w:rsid w:val="00690547"/>
    <w:rsid w:val="00691A8B"/>
    <w:rsid w:val="00692ECF"/>
    <w:rsid w:val="00697101"/>
    <w:rsid w:val="006A3597"/>
    <w:rsid w:val="006B25BB"/>
    <w:rsid w:val="006B2958"/>
    <w:rsid w:val="006D3337"/>
    <w:rsid w:val="006E465A"/>
    <w:rsid w:val="006F26F9"/>
    <w:rsid w:val="0070781C"/>
    <w:rsid w:val="00712504"/>
    <w:rsid w:val="00717AC1"/>
    <w:rsid w:val="00727874"/>
    <w:rsid w:val="00727DD8"/>
    <w:rsid w:val="007310D7"/>
    <w:rsid w:val="0074124A"/>
    <w:rsid w:val="00760DF3"/>
    <w:rsid w:val="00781B87"/>
    <w:rsid w:val="0078329B"/>
    <w:rsid w:val="007910D0"/>
    <w:rsid w:val="00794916"/>
    <w:rsid w:val="007C1E57"/>
    <w:rsid w:val="007C4318"/>
    <w:rsid w:val="007C7C22"/>
    <w:rsid w:val="007D192D"/>
    <w:rsid w:val="007D2C1C"/>
    <w:rsid w:val="007D566F"/>
    <w:rsid w:val="007D7BCE"/>
    <w:rsid w:val="007E00A3"/>
    <w:rsid w:val="007E7DCB"/>
    <w:rsid w:val="007F1050"/>
    <w:rsid w:val="007F7DB5"/>
    <w:rsid w:val="008078FC"/>
    <w:rsid w:val="00810FA5"/>
    <w:rsid w:val="00812FE8"/>
    <w:rsid w:val="00816845"/>
    <w:rsid w:val="00822D96"/>
    <w:rsid w:val="008260F7"/>
    <w:rsid w:val="00827B6A"/>
    <w:rsid w:val="0083726F"/>
    <w:rsid w:val="0084040D"/>
    <w:rsid w:val="00846101"/>
    <w:rsid w:val="00846764"/>
    <w:rsid w:val="0085438E"/>
    <w:rsid w:val="008616D0"/>
    <w:rsid w:val="0088673E"/>
    <w:rsid w:val="008B40CE"/>
    <w:rsid w:val="008D0BED"/>
    <w:rsid w:val="008D19BF"/>
    <w:rsid w:val="008D29A3"/>
    <w:rsid w:val="008D6358"/>
    <w:rsid w:val="008F2292"/>
    <w:rsid w:val="008F251F"/>
    <w:rsid w:val="008F2951"/>
    <w:rsid w:val="0090252F"/>
    <w:rsid w:val="00921F1F"/>
    <w:rsid w:val="009263AA"/>
    <w:rsid w:val="009379F2"/>
    <w:rsid w:val="00937EB1"/>
    <w:rsid w:val="00945436"/>
    <w:rsid w:val="009479DB"/>
    <w:rsid w:val="00970282"/>
    <w:rsid w:val="009766F6"/>
    <w:rsid w:val="00992295"/>
    <w:rsid w:val="009A3301"/>
    <w:rsid w:val="009A3C39"/>
    <w:rsid w:val="009A7914"/>
    <w:rsid w:val="009B752F"/>
    <w:rsid w:val="009C5B40"/>
    <w:rsid w:val="00A01ECD"/>
    <w:rsid w:val="00A1457B"/>
    <w:rsid w:val="00A22DB4"/>
    <w:rsid w:val="00A27985"/>
    <w:rsid w:val="00A33425"/>
    <w:rsid w:val="00A36B26"/>
    <w:rsid w:val="00A45566"/>
    <w:rsid w:val="00A519EF"/>
    <w:rsid w:val="00A54BBB"/>
    <w:rsid w:val="00A55699"/>
    <w:rsid w:val="00A5571F"/>
    <w:rsid w:val="00A718D6"/>
    <w:rsid w:val="00A82660"/>
    <w:rsid w:val="00A913F3"/>
    <w:rsid w:val="00A94AC9"/>
    <w:rsid w:val="00AB0E36"/>
    <w:rsid w:val="00AD3B6F"/>
    <w:rsid w:val="00AE105E"/>
    <w:rsid w:val="00B036F2"/>
    <w:rsid w:val="00B06D87"/>
    <w:rsid w:val="00B12AF0"/>
    <w:rsid w:val="00B24EBF"/>
    <w:rsid w:val="00B26FA8"/>
    <w:rsid w:val="00B30CA3"/>
    <w:rsid w:val="00B34365"/>
    <w:rsid w:val="00B36C0D"/>
    <w:rsid w:val="00B452AD"/>
    <w:rsid w:val="00B51FF3"/>
    <w:rsid w:val="00B6673C"/>
    <w:rsid w:val="00B820C0"/>
    <w:rsid w:val="00BA5E9D"/>
    <w:rsid w:val="00BB0029"/>
    <w:rsid w:val="00BB34B7"/>
    <w:rsid w:val="00BB6CC2"/>
    <w:rsid w:val="00BB6F7F"/>
    <w:rsid w:val="00BB7584"/>
    <w:rsid w:val="00BC06A2"/>
    <w:rsid w:val="00BC1822"/>
    <w:rsid w:val="00BD3477"/>
    <w:rsid w:val="00BD49D0"/>
    <w:rsid w:val="00BE55AA"/>
    <w:rsid w:val="00BF38E3"/>
    <w:rsid w:val="00C03664"/>
    <w:rsid w:val="00C0524E"/>
    <w:rsid w:val="00C12A7C"/>
    <w:rsid w:val="00C40B86"/>
    <w:rsid w:val="00C4415E"/>
    <w:rsid w:val="00C50603"/>
    <w:rsid w:val="00C526A4"/>
    <w:rsid w:val="00C56DC7"/>
    <w:rsid w:val="00C6717E"/>
    <w:rsid w:val="00C90F21"/>
    <w:rsid w:val="00CA3344"/>
    <w:rsid w:val="00CC36D9"/>
    <w:rsid w:val="00CF4411"/>
    <w:rsid w:val="00CF7EA7"/>
    <w:rsid w:val="00D02D4D"/>
    <w:rsid w:val="00D06A44"/>
    <w:rsid w:val="00D2326D"/>
    <w:rsid w:val="00D23316"/>
    <w:rsid w:val="00D2416F"/>
    <w:rsid w:val="00D24BBF"/>
    <w:rsid w:val="00D36919"/>
    <w:rsid w:val="00D55366"/>
    <w:rsid w:val="00D56813"/>
    <w:rsid w:val="00D61327"/>
    <w:rsid w:val="00D6240F"/>
    <w:rsid w:val="00D628DE"/>
    <w:rsid w:val="00D63BD2"/>
    <w:rsid w:val="00D704D5"/>
    <w:rsid w:val="00D70EFE"/>
    <w:rsid w:val="00D90A1D"/>
    <w:rsid w:val="00D90EB4"/>
    <w:rsid w:val="00D91BDD"/>
    <w:rsid w:val="00DA79C9"/>
    <w:rsid w:val="00DC1BFD"/>
    <w:rsid w:val="00DC4254"/>
    <w:rsid w:val="00DD0DD5"/>
    <w:rsid w:val="00DD2B16"/>
    <w:rsid w:val="00DD62BC"/>
    <w:rsid w:val="00DE7F93"/>
    <w:rsid w:val="00DF3340"/>
    <w:rsid w:val="00DF3EB1"/>
    <w:rsid w:val="00E04281"/>
    <w:rsid w:val="00E11059"/>
    <w:rsid w:val="00E142A8"/>
    <w:rsid w:val="00E146B7"/>
    <w:rsid w:val="00E3541A"/>
    <w:rsid w:val="00E42F94"/>
    <w:rsid w:val="00E4793E"/>
    <w:rsid w:val="00E65882"/>
    <w:rsid w:val="00E717ED"/>
    <w:rsid w:val="00E94BFF"/>
    <w:rsid w:val="00E9634D"/>
    <w:rsid w:val="00EA5F73"/>
    <w:rsid w:val="00EB38A8"/>
    <w:rsid w:val="00EC1380"/>
    <w:rsid w:val="00EC74BA"/>
    <w:rsid w:val="00ED00C3"/>
    <w:rsid w:val="00ED25AF"/>
    <w:rsid w:val="00EE252A"/>
    <w:rsid w:val="00EE301E"/>
    <w:rsid w:val="00EF5793"/>
    <w:rsid w:val="00EF7B71"/>
    <w:rsid w:val="00F01E24"/>
    <w:rsid w:val="00F0210A"/>
    <w:rsid w:val="00F027FD"/>
    <w:rsid w:val="00F04285"/>
    <w:rsid w:val="00F10451"/>
    <w:rsid w:val="00F17A69"/>
    <w:rsid w:val="00F3403A"/>
    <w:rsid w:val="00F41A06"/>
    <w:rsid w:val="00F660E9"/>
    <w:rsid w:val="00F700CC"/>
    <w:rsid w:val="00F77A0A"/>
    <w:rsid w:val="00F8674F"/>
    <w:rsid w:val="00F87ACC"/>
    <w:rsid w:val="00F935C9"/>
    <w:rsid w:val="00FA0496"/>
    <w:rsid w:val="00FA7DDD"/>
    <w:rsid w:val="00FB2A37"/>
    <w:rsid w:val="00FC4253"/>
    <w:rsid w:val="00FD4417"/>
    <w:rsid w:val="00FD507E"/>
    <w:rsid w:val="00FE642D"/>
    <w:rsid w:val="00FF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260F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0F7"/>
    <w:rPr>
      <w:color w:val="0000FF"/>
      <w:u w:val="single"/>
    </w:rPr>
  </w:style>
  <w:style w:type="character" w:styleId="FollowedHyperlink">
    <w:name w:val="FollowedHyperlink"/>
    <w:basedOn w:val="DefaultParagraphFont"/>
    <w:rsid w:val="008260F7"/>
    <w:rPr>
      <w:color w:val="800080"/>
      <w:u w:val="single"/>
    </w:rPr>
  </w:style>
  <w:style w:type="paragraph" w:styleId="Header">
    <w:name w:val="header"/>
    <w:basedOn w:val="Normal"/>
    <w:rsid w:val="00826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60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0F7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04285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NormalWeb">
    <w:name w:val="Normal (Web)"/>
    <w:basedOn w:val="Normal"/>
    <w:rsid w:val="006709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557C7"/>
    <w:rPr>
      <w:rFonts w:ascii="Times New Roman" w:hAnsi="Times New Roman" w:cs="Times New Roman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D4685"/>
    <w:rPr>
      <w:color w:val="808080"/>
    </w:rPr>
  </w:style>
  <w:style w:type="paragraph" w:styleId="FootnoteText">
    <w:name w:val="footnote text"/>
    <w:basedOn w:val="Normal"/>
    <w:link w:val="FootnoteTextChar"/>
    <w:rsid w:val="00041141"/>
  </w:style>
  <w:style w:type="character" w:customStyle="1" w:styleId="FootnoteTextChar">
    <w:name w:val="Footnote Text Char"/>
    <w:basedOn w:val="DefaultParagraphFont"/>
    <w:link w:val="FootnoteText"/>
    <w:rsid w:val="00041141"/>
    <w:rPr>
      <w:rFonts w:ascii="Arial" w:hAnsi="Arial" w:cs="Arial"/>
    </w:rPr>
  </w:style>
  <w:style w:type="character" w:styleId="FootnoteReference">
    <w:name w:val="footnote reference"/>
    <w:basedOn w:val="DefaultParagraphFont"/>
    <w:rsid w:val="000411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20612510936132991"/>
          <c:y val="5.0925925925925979E-2"/>
          <c:w val="0.75627777777777783"/>
          <c:h val="0.79142752989209531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Sheet1!$A$4:$A$12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xVal>
          <c:yVal>
            <c:numRef>
              <c:f>Sheet1!$B$4:$B$12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</c:numCache>
            </c:numRef>
          </c:yVal>
        </c:ser>
        <c:axId val="103883520"/>
        <c:axId val="103885440"/>
      </c:scatterChart>
      <c:valAx>
        <c:axId val="103883520"/>
        <c:scaling>
          <c:orientation val="minMax"/>
          <c:max val="8"/>
        </c:scaling>
        <c:axPos val="b"/>
        <c:majorGridlines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Size of Blobs in Degrees</a:t>
                </a:r>
              </a:p>
            </c:rich>
          </c:tx>
        </c:title>
        <c:numFmt formatCode="General" sourceLinked="1"/>
        <c:majorTickMark val="cross"/>
        <c:minorTickMark val="in"/>
        <c:tickLblPos val="nextTo"/>
        <c:spPr>
          <a:ln>
            <a:solidFill>
              <a:sysClr val="windowText" lastClr="000000"/>
            </a:solidFill>
          </a:ln>
        </c:spPr>
        <c:crossAx val="103885440"/>
        <c:crosses val="autoZero"/>
        <c:crossBetween val="midCat"/>
        <c:majorUnit val="2"/>
        <c:minorUnit val="1"/>
      </c:valAx>
      <c:valAx>
        <c:axId val="103885440"/>
        <c:scaling>
          <c:orientation val="minMax"/>
        </c:scaling>
        <c:delete val="1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US" sz="1200"/>
                  <a:t>Number of Blobs</a:t>
                </a:r>
              </a:p>
            </c:rich>
          </c:tx>
          <c:layout>
            <c:manualLayout>
              <c:xMode val="edge"/>
              <c:yMode val="edge"/>
              <c:x val="8.3333333333333523E-3"/>
              <c:y val="0.29643117526975887"/>
            </c:manualLayout>
          </c:layout>
        </c:title>
        <c:numFmt formatCode="General" sourceLinked="1"/>
        <c:majorTickMark val="in"/>
        <c:tickLblPos val="none"/>
        <c:crossAx val="103883520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4ABC7-388C-4250-BEF1-BE618040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3</cp:revision>
  <cp:lastPrinted>2013-04-15T16:07:00Z</cp:lastPrinted>
  <dcterms:created xsi:type="dcterms:W3CDTF">2013-06-22T01:29:00Z</dcterms:created>
  <dcterms:modified xsi:type="dcterms:W3CDTF">2013-06-22T01:33:00Z</dcterms:modified>
</cp:coreProperties>
</file>