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53" w:rsidRDefault="00FC30CA" w:rsidP="00A303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Acceleration of the Universe</w:t>
      </w:r>
    </w:p>
    <w:p w:rsidR="00A30353" w:rsidRDefault="00A30353" w:rsidP="00D24BBF">
      <w:pPr>
        <w:rPr>
          <w:b/>
          <w:sz w:val="22"/>
          <w:szCs w:val="22"/>
        </w:rPr>
      </w:pPr>
    </w:p>
    <w:p w:rsidR="00FC30CA" w:rsidRPr="00E67612" w:rsidRDefault="00CC1D6C" w:rsidP="00D24BB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Values of the </w:t>
      </w:r>
      <w:r w:rsidR="00FC30CA">
        <w:rPr>
          <w:sz w:val="22"/>
          <w:szCs w:val="22"/>
        </w:rPr>
        <w:t xml:space="preserve">Hubble </w:t>
      </w:r>
      <w:r>
        <w:rPr>
          <w:sz w:val="22"/>
          <w:szCs w:val="22"/>
        </w:rPr>
        <w:t>constant H</w:t>
      </w:r>
      <w:r w:rsidRPr="00CC1D6C"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measured in the 1920s and 1930s suggested the expansion rate of the </w:t>
      </w:r>
      <w:r w:rsidR="009554C9">
        <w:rPr>
          <w:sz w:val="22"/>
          <w:szCs w:val="22"/>
        </w:rPr>
        <w:t>universe is about 500 km/sec/</w:t>
      </w:r>
      <w:proofErr w:type="spellStart"/>
      <w:r w:rsidR="009554C9">
        <w:rPr>
          <w:sz w:val="22"/>
          <w:szCs w:val="22"/>
        </w:rPr>
        <w:t>Megaparsec</w:t>
      </w:r>
      <w:proofErr w:type="spellEnd"/>
      <w:r>
        <w:rPr>
          <w:sz w:val="22"/>
          <w:szCs w:val="22"/>
        </w:rPr>
        <w:t>.  Refinements in our ability to measure H</w:t>
      </w:r>
      <w:r w:rsidRPr="00CC1D6C"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have improved </w:t>
      </w:r>
      <w:r w:rsidR="00F8625B">
        <w:rPr>
          <w:sz w:val="22"/>
          <w:szCs w:val="22"/>
        </w:rPr>
        <w:t xml:space="preserve">our measurements </w:t>
      </w:r>
      <w:r>
        <w:rPr>
          <w:sz w:val="22"/>
          <w:szCs w:val="22"/>
        </w:rPr>
        <w:t>since then.  The most recent and best measurement now comes from the recently announced analysis of</w:t>
      </w:r>
      <w:r w:rsidR="00C62582">
        <w:rPr>
          <w:sz w:val="22"/>
          <w:szCs w:val="22"/>
        </w:rPr>
        <w:t xml:space="preserve"> 15</w:t>
      </w:r>
      <w:r>
        <w:rPr>
          <w:sz w:val="22"/>
          <w:szCs w:val="22"/>
        </w:rPr>
        <w:t xml:space="preserve"> months of data from ESA’s Planck</w:t>
      </w:r>
      <w:r w:rsidR="00E67612">
        <w:rPr>
          <w:sz w:val="22"/>
          <w:szCs w:val="22"/>
        </w:rPr>
        <w:t xml:space="preserve"> satellite</w:t>
      </w:r>
      <w:r>
        <w:rPr>
          <w:sz w:val="22"/>
          <w:szCs w:val="22"/>
        </w:rPr>
        <w:t xml:space="preserve"> mission, which measures the intensity of the cosmic microwave background radiation around the sky.  Planck data put the val</w:t>
      </w:r>
      <w:r w:rsidR="00425600">
        <w:rPr>
          <w:sz w:val="22"/>
          <w:szCs w:val="22"/>
        </w:rPr>
        <w:t xml:space="preserve">ue of the Hubble constant at 67.8 ± 0.77 </w:t>
      </w:r>
      <w:r>
        <w:rPr>
          <w:sz w:val="22"/>
          <w:szCs w:val="22"/>
        </w:rPr>
        <w:t>km/sec/Mpc</w:t>
      </w:r>
      <w:r w:rsidR="0042560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D7A4C" w:rsidRDefault="002D7A4C" w:rsidP="00D24BBF">
      <w:pPr>
        <w:rPr>
          <w:sz w:val="22"/>
          <w:szCs w:val="22"/>
        </w:rPr>
      </w:pPr>
    </w:p>
    <w:p w:rsidR="002D7A4C" w:rsidRDefault="002D7A4C" w:rsidP="00D24BBF">
      <w:pPr>
        <w:rPr>
          <w:sz w:val="22"/>
          <w:szCs w:val="22"/>
        </w:rPr>
      </w:pPr>
      <w:r>
        <w:rPr>
          <w:sz w:val="22"/>
          <w:szCs w:val="22"/>
        </w:rPr>
        <w:t xml:space="preserve">The data in the table </w:t>
      </w:r>
      <w:r w:rsidR="00E67612">
        <w:rPr>
          <w:sz w:val="22"/>
          <w:szCs w:val="22"/>
        </w:rPr>
        <w:t>on the next page</w:t>
      </w:r>
      <w:r>
        <w:rPr>
          <w:sz w:val="22"/>
          <w:szCs w:val="22"/>
        </w:rPr>
        <w:t xml:space="preserve"> are measuremen</w:t>
      </w:r>
      <w:r w:rsidR="00C62582">
        <w:rPr>
          <w:sz w:val="22"/>
          <w:szCs w:val="22"/>
        </w:rPr>
        <w:t>ts of the redshift</w:t>
      </w:r>
      <w:r w:rsidR="00061954">
        <w:rPr>
          <w:sz w:val="22"/>
          <w:szCs w:val="22"/>
        </w:rPr>
        <w:t>s</w:t>
      </w:r>
      <w:r w:rsidR="00C62582">
        <w:rPr>
          <w:sz w:val="22"/>
          <w:szCs w:val="22"/>
        </w:rPr>
        <w:t xml:space="preserve"> and distance </w:t>
      </w:r>
      <w:proofErr w:type="spellStart"/>
      <w:r w:rsidR="00C62582">
        <w:rPr>
          <w:sz w:val="22"/>
          <w:szCs w:val="22"/>
        </w:rPr>
        <w:t>moduli</w:t>
      </w:r>
      <w:proofErr w:type="spellEnd"/>
      <w:r>
        <w:rPr>
          <w:sz w:val="22"/>
          <w:szCs w:val="22"/>
        </w:rPr>
        <w:t xml:space="preserve"> of </w:t>
      </w:r>
      <w:r w:rsidR="00083F34">
        <w:rPr>
          <w:sz w:val="22"/>
          <w:szCs w:val="22"/>
        </w:rPr>
        <w:t xml:space="preserve">Type </w:t>
      </w:r>
      <w:proofErr w:type="gramStart"/>
      <w:r w:rsidR="00083F34">
        <w:rPr>
          <w:sz w:val="22"/>
          <w:szCs w:val="22"/>
        </w:rPr>
        <w:t>Ia</w:t>
      </w:r>
      <w:proofErr w:type="gramEnd"/>
      <w:r w:rsidR="00083F34">
        <w:rPr>
          <w:sz w:val="22"/>
          <w:szCs w:val="22"/>
        </w:rPr>
        <w:t xml:space="preserve"> </w:t>
      </w:r>
      <w:r>
        <w:rPr>
          <w:sz w:val="22"/>
          <w:szCs w:val="22"/>
        </w:rPr>
        <w:t>supernovae</w:t>
      </w:r>
      <w:r w:rsidR="00083F34">
        <w:rPr>
          <w:sz w:val="22"/>
          <w:szCs w:val="22"/>
        </w:rPr>
        <w:t xml:space="preserve"> in distant galaxies.  </w:t>
      </w:r>
      <w:r w:rsidR="00F8625B">
        <w:rPr>
          <w:sz w:val="22"/>
          <w:szCs w:val="22"/>
        </w:rPr>
        <w:t>Remember that</w:t>
      </w:r>
      <w:r w:rsidR="00E67612">
        <w:rPr>
          <w:sz w:val="22"/>
          <w:szCs w:val="22"/>
        </w:rPr>
        <w:t xml:space="preserve"> </w:t>
      </w:r>
      <w:r w:rsidR="00083F34">
        <w:rPr>
          <w:sz w:val="22"/>
          <w:szCs w:val="22"/>
        </w:rPr>
        <w:t xml:space="preserve">the recession velocity is not actually the velocity of the galaxy, but rather the factor by which space has expanded since the light we observe </w:t>
      </w:r>
      <w:r w:rsidR="00C62582">
        <w:rPr>
          <w:sz w:val="22"/>
          <w:szCs w:val="22"/>
        </w:rPr>
        <w:t>originally left</w:t>
      </w:r>
      <w:r w:rsidR="00083F34">
        <w:rPr>
          <w:sz w:val="22"/>
          <w:szCs w:val="22"/>
        </w:rPr>
        <w:t xml:space="preserve"> the galaxy</w:t>
      </w:r>
      <w:r w:rsidR="00C62582">
        <w:rPr>
          <w:sz w:val="22"/>
          <w:szCs w:val="22"/>
        </w:rPr>
        <w:t>.</w:t>
      </w:r>
    </w:p>
    <w:p w:rsidR="009554C9" w:rsidRDefault="009554C9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  <w:r>
        <w:rPr>
          <w:sz w:val="22"/>
          <w:szCs w:val="22"/>
        </w:rPr>
        <w:t xml:space="preserve">The distance modulus is just the difference between the apparent and absolute magnitude of each observed Type </w:t>
      </w:r>
      <w:proofErr w:type="gramStart"/>
      <w:r>
        <w:rPr>
          <w:sz w:val="22"/>
          <w:szCs w:val="22"/>
        </w:rPr>
        <w:t>Ia</w:t>
      </w:r>
      <w:proofErr w:type="gramEnd"/>
      <w:r>
        <w:rPr>
          <w:sz w:val="22"/>
          <w:szCs w:val="22"/>
        </w:rPr>
        <w:t xml:space="preserve"> supernova.  Recall that Type Ia supernovae are standard candles, with an absolute magnitude of about -19.  </w:t>
      </w:r>
      <w:proofErr w:type="gramStart"/>
      <w:r>
        <w:rPr>
          <w:sz w:val="22"/>
          <w:szCs w:val="22"/>
        </w:rPr>
        <w:t>A distance modulus of 35 means that the apparent magnitude of the supernova was +16, easily observable with a mid-size research telescope.</w:t>
      </w:r>
      <w:proofErr w:type="gramEnd"/>
    </w:p>
    <w:p w:rsidR="00061954" w:rsidRDefault="00061954" w:rsidP="00D24BBF">
      <w:pPr>
        <w:rPr>
          <w:sz w:val="22"/>
          <w:szCs w:val="22"/>
        </w:rPr>
      </w:pPr>
    </w:p>
    <w:p w:rsidR="00061954" w:rsidRDefault="00061954" w:rsidP="00D24BBF">
      <w:pPr>
        <w:rPr>
          <w:sz w:val="22"/>
          <w:szCs w:val="22"/>
        </w:rPr>
      </w:pPr>
      <w:r>
        <w:rPr>
          <w:sz w:val="22"/>
          <w:szCs w:val="22"/>
        </w:rPr>
        <w:t>The table on the le</w:t>
      </w:r>
      <w:r w:rsidR="001477BA">
        <w:rPr>
          <w:sz w:val="22"/>
          <w:szCs w:val="22"/>
        </w:rPr>
        <w:t>ft includes average values for</w:t>
      </w:r>
      <w:r>
        <w:rPr>
          <w:sz w:val="22"/>
          <w:szCs w:val="22"/>
        </w:rPr>
        <w:t xml:space="preserve"> large samples </w:t>
      </w:r>
      <w:r w:rsidR="005E7F16">
        <w:rPr>
          <w:sz w:val="22"/>
          <w:szCs w:val="22"/>
        </w:rPr>
        <w:t xml:space="preserve">of supernovae out to </w:t>
      </w:r>
      <w:r>
        <w:rPr>
          <w:sz w:val="22"/>
          <w:szCs w:val="22"/>
        </w:rPr>
        <w:t xml:space="preserve">redshifts </w:t>
      </w:r>
      <w:r w:rsidR="009554C9">
        <w:rPr>
          <w:sz w:val="22"/>
          <w:szCs w:val="22"/>
        </w:rPr>
        <w:t>up to</w:t>
      </w:r>
      <w:r>
        <w:rPr>
          <w:sz w:val="22"/>
          <w:szCs w:val="22"/>
        </w:rPr>
        <w:t xml:space="preserve"> </w:t>
      </w:r>
      <w:r w:rsidR="005E7F16">
        <w:rPr>
          <w:sz w:val="22"/>
          <w:szCs w:val="22"/>
        </w:rPr>
        <w:t>z</w:t>
      </w:r>
      <w:r w:rsidR="001477BA">
        <w:rPr>
          <w:sz w:val="22"/>
          <w:szCs w:val="22"/>
        </w:rPr>
        <w:t xml:space="preserve"> = v/c </w:t>
      </w:r>
      <w:r w:rsidR="005E7F16">
        <w:rPr>
          <w:sz w:val="22"/>
          <w:szCs w:val="22"/>
        </w:rPr>
        <w:t>=</w:t>
      </w:r>
      <w:r>
        <w:rPr>
          <w:sz w:val="22"/>
          <w:szCs w:val="22"/>
        </w:rPr>
        <w:t>1.0</w:t>
      </w:r>
      <w:r w:rsidR="005E7F16">
        <w:rPr>
          <w:sz w:val="22"/>
          <w:szCs w:val="22"/>
        </w:rPr>
        <w:t xml:space="preserve"> (a distance of about 6 </w:t>
      </w:r>
      <w:r w:rsidR="001477BA">
        <w:rPr>
          <w:sz w:val="22"/>
          <w:szCs w:val="22"/>
        </w:rPr>
        <w:t xml:space="preserve">billion light years, or about </w:t>
      </w:r>
      <w:proofErr w:type="gramStart"/>
      <w:r w:rsidR="001477BA">
        <w:rPr>
          <w:sz w:val="22"/>
          <w:szCs w:val="22"/>
        </w:rPr>
        <w:t>1.8  billion</w:t>
      </w:r>
      <w:proofErr w:type="gramEnd"/>
      <w:r w:rsidR="001477BA">
        <w:rPr>
          <w:sz w:val="22"/>
          <w:szCs w:val="22"/>
        </w:rPr>
        <w:t xml:space="preserve"> </w:t>
      </w:r>
      <w:r w:rsidR="005E7F16">
        <w:rPr>
          <w:sz w:val="22"/>
          <w:szCs w:val="22"/>
        </w:rPr>
        <w:t>parsecs</w:t>
      </w:r>
      <w:r>
        <w:rPr>
          <w:sz w:val="22"/>
          <w:szCs w:val="22"/>
        </w:rPr>
        <w:t xml:space="preserve">.  The table on the left includes redshifts and distance </w:t>
      </w:r>
      <w:proofErr w:type="spellStart"/>
      <w:r>
        <w:rPr>
          <w:sz w:val="22"/>
          <w:szCs w:val="22"/>
        </w:rPr>
        <w:t>moduli</w:t>
      </w:r>
      <w:proofErr w:type="spellEnd"/>
      <w:r>
        <w:rPr>
          <w:sz w:val="22"/>
          <w:szCs w:val="22"/>
        </w:rPr>
        <w:t xml:space="preserve"> for individual galaxies at </w:t>
      </w:r>
      <w:r w:rsidR="005E7F16">
        <w:rPr>
          <w:sz w:val="22"/>
          <w:szCs w:val="22"/>
        </w:rPr>
        <w:t xml:space="preserve">even </w:t>
      </w:r>
      <w:r>
        <w:rPr>
          <w:sz w:val="22"/>
          <w:szCs w:val="22"/>
        </w:rPr>
        <w:t>larger redshift</w:t>
      </w:r>
      <w:r w:rsidR="005E7F16">
        <w:rPr>
          <w:sz w:val="22"/>
          <w:szCs w:val="22"/>
        </w:rPr>
        <w:t>s (z</w:t>
      </w:r>
      <w:r w:rsidR="001477BA">
        <w:rPr>
          <w:sz w:val="22"/>
          <w:szCs w:val="22"/>
        </w:rPr>
        <w:t xml:space="preserve"> </w:t>
      </w:r>
      <w:r w:rsidR="005E7F16">
        <w:rPr>
          <w:sz w:val="22"/>
          <w:szCs w:val="22"/>
        </w:rPr>
        <w:t>&gt;</w:t>
      </w:r>
      <w:r w:rsidR="001477BA">
        <w:rPr>
          <w:sz w:val="22"/>
          <w:szCs w:val="22"/>
        </w:rPr>
        <w:t xml:space="preserve"> </w:t>
      </w:r>
      <w:r w:rsidR="005E7F16">
        <w:rPr>
          <w:sz w:val="22"/>
          <w:szCs w:val="22"/>
        </w:rPr>
        <w:t>1.0) and distances.</w:t>
      </w:r>
    </w:p>
    <w:p w:rsidR="00E67612" w:rsidRDefault="00E67612" w:rsidP="00D24BBF">
      <w:pPr>
        <w:rPr>
          <w:sz w:val="22"/>
          <w:szCs w:val="22"/>
        </w:rPr>
      </w:pPr>
    </w:p>
    <w:p w:rsidR="001477BA" w:rsidRDefault="00E67612" w:rsidP="00D24BBF">
      <w:pPr>
        <w:rPr>
          <w:sz w:val="22"/>
          <w:szCs w:val="22"/>
        </w:rPr>
      </w:pPr>
      <w:r>
        <w:rPr>
          <w:sz w:val="22"/>
          <w:szCs w:val="22"/>
        </w:rPr>
        <w:t>Plot the quantities in the tables onto the chart below</w:t>
      </w:r>
      <w:r w:rsidR="001477BA"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, plotting redshift (z) on the horizontal axis and galaxy distance modulus on the y-axis.  </w:t>
      </w:r>
    </w:p>
    <w:p w:rsidR="001477BA" w:rsidRDefault="001477BA" w:rsidP="00D24BBF">
      <w:pPr>
        <w:rPr>
          <w:sz w:val="22"/>
          <w:szCs w:val="22"/>
        </w:rPr>
      </w:pPr>
    </w:p>
    <w:p w:rsidR="00E67612" w:rsidRDefault="00E67612" w:rsidP="00D24BBF">
      <w:pPr>
        <w:rPr>
          <w:sz w:val="22"/>
          <w:szCs w:val="22"/>
        </w:rPr>
      </w:pPr>
      <w:r>
        <w:rPr>
          <w:sz w:val="22"/>
          <w:szCs w:val="22"/>
        </w:rPr>
        <w:t xml:space="preserve">The dashed line in the chart is the expected </w:t>
      </w:r>
      <w:r w:rsidR="00F8625B">
        <w:rPr>
          <w:sz w:val="22"/>
          <w:szCs w:val="22"/>
        </w:rPr>
        <w:t xml:space="preserve">curve </w:t>
      </w:r>
      <w:r>
        <w:rPr>
          <w:sz w:val="22"/>
          <w:szCs w:val="22"/>
        </w:rPr>
        <w:t>for a simple, expanding model of the universe in which galaxies are slowing down due to the gravitational pull of matter in the universe.</w:t>
      </w:r>
    </w:p>
    <w:p w:rsidR="009554C9" w:rsidRDefault="009554C9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  <w:r>
        <w:rPr>
          <w:sz w:val="22"/>
          <w:szCs w:val="22"/>
        </w:rPr>
        <w:t>A.  Over what redshift range do the data follow the simple model of the universe shown by the dashed line?</w:t>
      </w:r>
    </w:p>
    <w:p w:rsidR="009554C9" w:rsidRDefault="009554C9" w:rsidP="00D24BBF">
      <w:pPr>
        <w:rPr>
          <w:sz w:val="22"/>
          <w:szCs w:val="22"/>
        </w:rPr>
      </w:pPr>
    </w:p>
    <w:p w:rsidR="00F8625B" w:rsidRDefault="00F8625B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</w:p>
    <w:p w:rsidR="00F8625B" w:rsidRDefault="00F8625B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  <w:r>
        <w:rPr>
          <w:sz w:val="22"/>
          <w:szCs w:val="22"/>
        </w:rPr>
        <w:t xml:space="preserve">B.  At what redshift do the observed galaxy distance </w:t>
      </w:r>
      <w:proofErr w:type="spellStart"/>
      <w:r>
        <w:rPr>
          <w:sz w:val="22"/>
          <w:szCs w:val="22"/>
        </w:rPr>
        <w:t>moduli</w:t>
      </w:r>
      <w:proofErr w:type="spellEnd"/>
      <w:r>
        <w:rPr>
          <w:sz w:val="22"/>
          <w:szCs w:val="22"/>
        </w:rPr>
        <w:t xml:space="preserve"> begin to deviate </w:t>
      </w:r>
      <w:r w:rsidR="00A44045">
        <w:rPr>
          <w:sz w:val="22"/>
          <w:szCs w:val="22"/>
        </w:rPr>
        <w:t xml:space="preserve">clearly </w:t>
      </w:r>
      <w:r>
        <w:rPr>
          <w:sz w:val="22"/>
          <w:szCs w:val="22"/>
        </w:rPr>
        <w:t>from the simple model shown by the dashed line?</w:t>
      </w:r>
    </w:p>
    <w:p w:rsidR="009554C9" w:rsidRDefault="009554C9" w:rsidP="00D24BBF">
      <w:pPr>
        <w:rPr>
          <w:sz w:val="22"/>
          <w:szCs w:val="22"/>
        </w:rPr>
      </w:pPr>
    </w:p>
    <w:p w:rsidR="00F8625B" w:rsidRDefault="00F8625B" w:rsidP="00D24BBF">
      <w:pPr>
        <w:rPr>
          <w:sz w:val="22"/>
          <w:szCs w:val="22"/>
        </w:rPr>
      </w:pPr>
    </w:p>
    <w:p w:rsidR="00F8625B" w:rsidRDefault="00F8625B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</w:p>
    <w:p w:rsidR="009554C9" w:rsidRDefault="009554C9" w:rsidP="00D24BBF">
      <w:pPr>
        <w:rPr>
          <w:sz w:val="22"/>
          <w:szCs w:val="22"/>
        </w:rPr>
      </w:pPr>
      <w:r>
        <w:rPr>
          <w:sz w:val="22"/>
          <w:szCs w:val="22"/>
        </w:rPr>
        <w:t xml:space="preserve">C.  At </w:t>
      </w:r>
      <w:r w:rsidR="00A44045">
        <w:rPr>
          <w:sz w:val="22"/>
          <w:szCs w:val="22"/>
        </w:rPr>
        <w:t xml:space="preserve">a redshift of 1.5, is a typical Type </w:t>
      </w:r>
      <w:proofErr w:type="gramStart"/>
      <w:r w:rsidR="00A44045">
        <w:rPr>
          <w:sz w:val="22"/>
          <w:szCs w:val="22"/>
        </w:rPr>
        <w:t>Ia</w:t>
      </w:r>
      <w:proofErr w:type="gramEnd"/>
      <w:r w:rsidR="00A44045">
        <w:rPr>
          <w:sz w:val="22"/>
          <w:szCs w:val="22"/>
        </w:rPr>
        <w:t xml:space="preserve"> supernova brighter or fainter than predicted by the simple model?  (Think this through...  Are the distance </w:t>
      </w:r>
      <w:proofErr w:type="spellStart"/>
      <w:r w:rsidR="00A44045">
        <w:rPr>
          <w:sz w:val="22"/>
          <w:szCs w:val="22"/>
        </w:rPr>
        <w:t>moduli</w:t>
      </w:r>
      <w:proofErr w:type="spellEnd"/>
      <w:r w:rsidR="00A44045">
        <w:rPr>
          <w:sz w:val="22"/>
          <w:szCs w:val="22"/>
        </w:rPr>
        <w:t xml:space="preserve"> larger or smaller than predicted by the simple model?</w:t>
      </w:r>
      <w:proofErr w:type="gramStart"/>
      <w:r w:rsidR="00A44045">
        <w:rPr>
          <w:sz w:val="22"/>
          <w:szCs w:val="22"/>
        </w:rPr>
        <w:t xml:space="preserve">) </w:t>
      </w:r>
      <w:proofErr w:type="gramEnd"/>
      <w:r w:rsidR="00A44045">
        <w:rPr>
          <w:sz w:val="22"/>
          <w:szCs w:val="22"/>
        </w:rPr>
        <w:t>Does this mean the supernovae (and their host galaxies) at redshift z=</w:t>
      </w:r>
      <w:proofErr w:type="gramStart"/>
      <w:r w:rsidR="00A44045">
        <w:rPr>
          <w:sz w:val="22"/>
          <w:szCs w:val="22"/>
        </w:rPr>
        <w:t>2</w:t>
      </w:r>
      <w:proofErr w:type="gramEnd"/>
      <w:r w:rsidR="00A44045">
        <w:rPr>
          <w:sz w:val="22"/>
          <w:szCs w:val="22"/>
        </w:rPr>
        <w:t xml:space="preserve"> closer or more distant than predicted by the simple model?</w:t>
      </w:r>
    </w:p>
    <w:p w:rsidR="00E67612" w:rsidRPr="00FC30CA" w:rsidRDefault="00E67612" w:rsidP="00D24BBF">
      <w:pPr>
        <w:rPr>
          <w:sz w:val="22"/>
          <w:szCs w:val="22"/>
        </w:rPr>
      </w:pPr>
    </w:p>
    <w:p w:rsidR="00E67612" w:rsidRDefault="00E676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C30CA" w:rsidRDefault="00FC30CA" w:rsidP="00D24BBF">
      <w:pPr>
        <w:rPr>
          <w:sz w:val="22"/>
          <w:szCs w:val="22"/>
        </w:rPr>
      </w:pPr>
    </w:p>
    <w:tbl>
      <w:tblPr>
        <w:tblW w:w="10044" w:type="dxa"/>
        <w:tblInd w:w="108" w:type="dxa"/>
        <w:tblLook w:val="04A0"/>
      </w:tblPr>
      <w:tblGrid>
        <w:gridCol w:w="2054"/>
        <w:gridCol w:w="2308"/>
        <w:gridCol w:w="318"/>
        <w:gridCol w:w="3470"/>
        <w:gridCol w:w="1894"/>
      </w:tblGrid>
      <w:tr w:rsidR="00E67612" w:rsidRPr="002B0CE9" w:rsidTr="00833000">
        <w:trPr>
          <w:trHeight w:val="918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612" w:rsidRDefault="00E6761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Average Data for Type Ia Supernovae </w:t>
            </w:r>
          </w:p>
          <w:p w:rsidR="00E67612" w:rsidRPr="002D7A4C" w:rsidRDefault="00E6761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at z &lt; 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612" w:rsidRPr="002D7A4C" w:rsidRDefault="00E6761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12" w:rsidRDefault="00E6761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Data for Individual Type Ia Supernova </w:t>
            </w:r>
          </w:p>
          <w:p w:rsidR="00E67612" w:rsidRDefault="00E6761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at z &gt;1</w:t>
            </w:r>
          </w:p>
        </w:tc>
      </w:tr>
      <w:tr w:rsidR="00C62582" w:rsidRPr="002B0CE9" w:rsidTr="00061954">
        <w:trPr>
          <w:trHeight w:val="91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612" w:rsidRDefault="00C62582" w:rsidP="00E67612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Redshift</w:t>
            </w:r>
          </w:p>
          <w:p w:rsidR="00C62582" w:rsidRPr="002D7A4C" w:rsidRDefault="00C62582" w:rsidP="00E67612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(v/c)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D7A4C" w:rsidRDefault="00C6258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Galaxy Distance </w:t>
            </w:r>
            <w:r w:rsidR="004C68C2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Modulus</w:t>
            </w:r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Megaparsecs</w:t>
            </w:r>
            <w:proofErr w:type="spellEnd"/>
            <w:r w:rsidRPr="002D7A4C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Pr="002D7A4C" w:rsidRDefault="00C6258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12" w:rsidRDefault="00C62582" w:rsidP="00E67612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Redshift</w:t>
            </w:r>
          </w:p>
          <w:p w:rsidR="00C62582" w:rsidRPr="002D7A4C" w:rsidRDefault="00C62582" w:rsidP="00E67612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(v/c)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Pr="002D7A4C" w:rsidRDefault="004C68C2" w:rsidP="00061954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Galaxy Distance Modulus (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Megaparsecs</w:t>
            </w:r>
            <w:proofErr w:type="spellEnd"/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35.7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1.056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44.25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1.140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44.84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0.383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41.6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1.190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44.19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0.537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1.265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45.20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0.81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45.27</w:t>
            </w:r>
          </w:p>
        </w:tc>
      </w:tr>
      <w:tr w:rsidR="00C62582" w:rsidRPr="002B0CE9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B0CE9">
              <w:rPr>
                <w:rFonts w:ascii="Calibri" w:hAnsi="Calibri" w:cs="Times New Roman"/>
                <w:color w:val="000000"/>
                <w:sz w:val="22"/>
                <w:szCs w:val="22"/>
              </w:rPr>
              <w:t>0.98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582" w:rsidRPr="002B0CE9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44.1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1.305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44.70</w:t>
            </w:r>
          </w:p>
        </w:tc>
      </w:tr>
      <w:tr w:rsidR="004C68C2" w:rsidTr="00061954">
        <w:trPr>
          <w:trHeight w:val="360"/>
        </w:trPr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C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8C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8C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C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C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45.05</w:t>
            </w:r>
          </w:p>
        </w:tc>
      </w:tr>
      <w:tr w:rsidR="00C62582" w:rsidTr="00061954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45.09</w:t>
            </w:r>
          </w:p>
        </w:tc>
      </w:tr>
      <w:tr w:rsidR="00C62582" w:rsidTr="00061954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Pr="002D7A4C" w:rsidRDefault="00C62582" w:rsidP="0006195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1.551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45.30</w:t>
            </w:r>
          </w:p>
        </w:tc>
      </w:tr>
      <w:tr w:rsidR="00C62582" w:rsidTr="00061954">
        <w:trPr>
          <w:trHeight w:val="36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C6258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1.755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82" w:rsidRDefault="004C68C2" w:rsidP="000619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45.53</w:t>
            </w:r>
          </w:p>
        </w:tc>
      </w:tr>
    </w:tbl>
    <w:p w:rsidR="002B0CE9" w:rsidRDefault="002B0CE9" w:rsidP="00D24BBF">
      <w:pPr>
        <w:rPr>
          <w:sz w:val="22"/>
          <w:szCs w:val="22"/>
        </w:rPr>
      </w:pPr>
    </w:p>
    <w:p w:rsidR="002B0CE9" w:rsidRPr="00FC30CA" w:rsidRDefault="002B0CE9" w:rsidP="00D24BBF">
      <w:pPr>
        <w:rPr>
          <w:sz w:val="22"/>
          <w:szCs w:val="22"/>
        </w:rPr>
      </w:pPr>
    </w:p>
    <w:p w:rsidR="00FC30CA" w:rsidRPr="00FC30CA" w:rsidRDefault="00C62582" w:rsidP="00E67612">
      <w:pPr>
        <w:jc w:val="center"/>
        <w:rPr>
          <w:sz w:val="22"/>
          <w:szCs w:val="22"/>
        </w:rPr>
      </w:pPr>
      <w:r w:rsidRPr="00C62582">
        <w:rPr>
          <w:noProof/>
          <w:sz w:val="22"/>
          <w:szCs w:val="22"/>
        </w:rPr>
        <w:drawing>
          <wp:inline distT="0" distB="0" distL="0" distR="0">
            <wp:extent cx="5494713" cy="3474720"/>
            <wp:effectExtent l="0" t="0" r="0" b="0"/>
            <wp:docPr id="1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04F7" w:rsidRDefault="00F804F7">
      <w:pPr>
        <w:rPr>
          <w:sz w:val="22"/>
          <w:szCs w:val="22"/>
        </w:rPr>
      </w:pPr>
    </w:p>
    <w:sectPr w:rsidR="00F804F7" w:rsidSect="00072EC6">
      <w:footerReference w:type="default" r:id="rId8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79" w:rsidRDefault="00201279">
      <w:r>
        <w:separator/>
      </w:r>
    </w:p>
  </w:endnote>
  <w:endnote w:type="continuationSeparator" w:id="0">
    <w:p w:rsidR="00201279" w:rsidRDefault="0020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326"/>
      <w:docPartObj>
        <w:docPartGallery w:val="Page Numbers (Bottom of Page)"/>
        <w:docPartUnique/>
      </w:docPartObj>
    </w:sdtPr>
    <w:sdtContent>
      <w:p w:rsidR="00263305" w:rsidRDefault="00C3470D">
        <w:pPr>
          <w:pStyle w:val="Footer"/>
          <w:jc w:val="center"/>
        </w:pPr>
        <w:fldSimple w:instr=" PAGE   \* MERGEFORMAT ">
          <w:r w:rsidR="009F2F05">
            <w:rPr>
              <w:noProof/>
            </w:rPr>
            <w:t>1</w:t>
          </w:r>
        </w:fldSimple>
      </w:p>
    </w:sdtContent>
  </w:sdt>
  <w:p w:rsidR="00263305" w:rsidRDefault="00263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79" w:rsidRDefault="00201279">
      <w:r>
        <w:separator/>
      </w:r>
    </w:p>
  </w:footnote>
  <w:footnote w:type="continuationSeparator" w:id="0">
    <w:p w:rsidR="00201279" w:rsidRDefault="00201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16A"/>
    <w:multiLevelType w:val="multilevel"/>
    <w:tmpl w:val="FAFC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18EC"/>
    <w:multiLevelType w:val="multilevel"/>
    <w:tmpl w:val="9F4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74EF9"/>
    <w:multiLevelType w:val="multilevel"/>
    <w:tmpl w:val="DC2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35C92FD5"/>
    <w:multiLevelType w:val="multilevel"/>
    <w:tmpl w:val="5774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8517E"/>
    <w:multiLevelType w:val="hybridMultilevel"/>
    <w:tmpl w:val="43D0C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C7DDB"/>
    <w:multiLevelType w:val="multilevel"/>
    <w:tmpl w:val="10C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43E4B"/>
    <w:multiLevelType w:val="multilevel"/>
    <w:tmpl w:val="01E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12294"/>
    <w:multiLevelType w:val="hybridMultilevel"/>
    <w:tmpl w:val="EF60C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A4AED"/>
    <w:multiLevelType w:val="multilevel"/>
    <w:tmpl w:val="3BBA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60957"/>
    <w:multiLevelType w:val="hybridMultilevel"/>
    <w:tmpl w:val="D930B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0391F"/>
    <w:multiLevelType w:val="multilevel"/>
    <w:tmpl w:val="2F8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1391C"/>
    <w:rsid w:val="00024869"/>
    <w:rsid w:val="00041295"/>
    <w:rsid w:val="00042E50"/>
    <w:rsid w:val="0006141F"/>
    <w:rsid w:val="00061954"/>
    <w:rsid w:val="00064939"/>
    <w:rsid w:val="00072EC6"/>
    <w:rsid w:val="00073341"/>
    <w:rsid w:val="0007570E"/>
    <w:rsid w:val="000831C8"/>
    <w:rsid w:val="00083F34"/>
    <w:rsid w:val="00092876"/>
    <w:rsid w:val="00097585"/>
    <w:rsid w:val="000A6419"/>
    <w:rsid w:val="000B1E3C"/>
    <w:rsid w:val="000D14F7"/>
    <w:rsid w:val="000E3E48"/>
    <w:rsid w:val="000E4003"/>
    <w:rsid w:val="00103170"/>
    <w:rsid w:val="001057FE"/>
    <w:rsid w:val="0011220D"/>
    <w:rsid w:val="00112A6E"/>
    <w:rsid w:val="001249FB"/>
    <w:rsid w:val="00126D63"/>
    <w:rsid w:val="00141E5B"/>
    <w:rsid w:val="00145548"/>
    <w:rsid w:val="001456E0"/>
    <w:rsid w:val="001477BA"/>
    <w:rsid w:val="00151B8A"/>
    <w:rsid w:val="001555F5"/>
    <w:rsid w:val="001557C7"/>
    <w:rsid w:val="0016380D"/>
    <w:rsid w:val="001645B1"/>
    <w:rsid w:val="00164F5B"/>
    <w:rsid w:val="00171A11"/>
    <w:rsid w:val="00172ABF"/>
    <w:rsid w:val="00186131"/>
    <w:rsid w:val="001869EE"/>
    <w:rsid w:val="00192D08"/>
    <w:rsid w:val="00194923"/>
    <w:rsid w:val="001A59C9"/>
    <w:rsid w:val="001B56B5"/>
    <w:rsid w:val="001B782B"/>
    <w:rsid w:val="001C098D"/>
    <w:rsid w:val="001C6A2D"/>
    <w:rsid w:val="001D019F"/>
    <w:rsid w:val="001D0B80"/>
    <w:rsid w:val="001D6632"/>
    <w:rsid w:val="001F2561"/>
    <w:rsid w:val="001F341E"/>
    <w:rsid w:val="00201279"/>
    <w:rsid w:val="00223B60"/>
    <w:rsid w:val="002304F7"/>
    <w:rsid w:val="0023135B"/>
    <w:rsid w:val="002331D4"/>
    <w:rsid w:val="00234BEB"/>
    <w:rsid w:val="00247BB0"/>
    <w:rsid w:val="00263305"/>
    <w:rsid w:val="00263BFD"/>
    <w:rsid w:val="00274976"/>
    <w:rsid w:val="002768AD"/>
    <w:rsid w:val="002853B2"/>
    <w:rsid w:val="00286B74"/>
    <w:rsid w:val="00287A95"/>
    <w:rsid w:val="00290052"/>
    <w:rsid w:val="002905C3"/>
    <w:rsid w:val="002B0CE9"/>
    <w:rsid w:val="002D55FE"/>
    <w:rsid w:val="002D7A4C"/>
    <w:rsid w:val="002F1431"/>
    <w:rsid w:val="002F51C3"/>
    <w:rsid w:val="00321CD5"/>
    <w:rsid w:val="00331395"/>
    <w:rsid w:val="0034273A"/>
    <w:rsid w:val="00342AFC"/>
    <w:rsid w:val="003447BC"/>
    <w:rsid w:val="00377181"/>
    <w:rsid w:val="003944DF"/>
    <w:rsid w:val="003B19F4"/>
    <w:rsid w:val="003C660C"/>
    <w:rsid w:val="003E7F57"/>
    <w:rsid w:val="00413A4C"/>
    <w:rsid w:val="004151BA"/>
    <w:rsid w:val="00421EF6"/>
    <w:rsid w:val="00425600"/>
    <w:rsid w:val="00444F2C"/>
    <w:rsid w:val="004507D4"/>
    <w:rsid w:val="00450DCF"/>
    <w:rsid w:val="00473D42"/>
    <w:rsid w:val="0047620D"/>
    <w:rsid w:val="004A66A1"/>
    <w:rsid w:val="004C0821"/>
    <w:rsid w:val="004C68C2"/>
    <w:rsid w:val="004F0F2F"/>
    <w:rsid w:val="004F346E"/>
    <w:rsid w:val="00505433"/>
    <w:rsid w:val="005263D6"/>
    <w:rsid w:val="00531ACA"/>
    <w:rsid w:val="00542618"/>
    <w:rsid w:val="00554D08"/>
    <w:rsid w:val="00567958"/>
    <w:rsid w:val="00581736"/>
    <w:rsid w:val="00586803"/>
    <w:rsid w:val="00587611"/>
    <w:rsid w:val="00592992"/>
    <w:rsid w:val="005A467C"/>
    <w:rsid w:val="005A6B01"/>
    <w:rsid w:val="005B3FE6"/>
    <w:rsid w:val="005E26E1"/>
    <w:rsid w:val="005E738A"/>
    <w:rsid w:val="005E7F16"/>
    <w:rsid w:val="005F6901"/>
    <w:rsid w:val="00607890"/>
    <w:rsid w:val="00612697"/>
    <w:rsid w:val="00613C9A"/>
    <w:rsid w:val="0062411C"/>
    <w:rsid w:val="00624DAF"/>
    <w:rsid w:val="006266DF"/>
    <w:rsid w:val="00626C18"/>
    <w:rsid w:val="00630D7A"/>
    <w:rsid w:val="00640336"/>
    <w:rsid w:val="006436B1"/>
    <w:rsid w:val="00643D0B"/>
    <w:rsid w:val="00644C7C"/>
    <w:rsid w:val="006602E6"/>
    <w:rsid w:val="006659F5"/>
    <w:rsid w:val="0067088D"/>
    <w:rsid w:val="0067092B"/>
    <w:rsid w:val="006764E7"/>
    <w:rsid w:val="00683307"/>
    <w:rsid w:val="00690547"/>
    <w:rsid w:val="00691A8B"/>
    <w:rsid w:val="00692ECF"/>
    <w:rsid w:val="006A3597"/>
    <w:rsid w:val="006B25BB"/>
    <w:rsid w:val="006B2958"/>
    <w:rsid w:val="006E465A"/>
    <w:rsid w:val="006F26F9"/>
    <w:rsid w:val="0070781C"/>
    <w:rsid w:val="00712504"/>
    <w:rsid w:val="00717AC1"/>
    <w:rsid w:val="00727874"/>
    <w:rsid w:val="00727DD8"/>
    <w:rsid w:val="007310D7"/>
    <w:rsid w:val="0074124A"/>
    <w:rsid w:val="00760DF3"/>
    <w:rsid w:val="00781B87"/>
    <w:rsid w:val="0078329B"/>
    <w:rsid w:val="007910D0"/>
    <w:rsid w:val="007C1E57"/>
    <w:rsid w:val="007C7C22"/>
    <w:rsid w:val="007D192D"/>
    <w:rsid w:val="007D566F"/>
    <w:rsid w:val="007D7BCE"/>
    <w:rsid w:val="007E00A3"/>
    <w:rsid w:val="007F1050"/>
    <w:rsid w:val="007F7DB5"/>
    <w:rsid w:val="008078FC"/>
    <w:rsid w:val="00810FA5"/>
    <w:rsid w:val="00812FE8"/>
    <w:rsid w:val="00816845"/>
    <w:rsid w:val="00822D96"/>
    <w:rsid w:val="00823E1F"/>
    <w:rsid w:val="008260F7"/>
    <w:rsid w:val="00827B6A"/>
    <w:rsid w:val="00834172"/>
    <w:rsid w:val="0083726F"/>
    <w:rsid w:val="0084040D"/>
    <w:rsid w:val="00846101"/>
    <w:rsid w:val="00846764"/>
    <w:rsid w:val="0085438E"/>
    <w:rsid w:val="0088549A"/>
    <w:rsid w:val="0088673E"/>
    <w:rsid w:val="0089340E"/>
    <w:rsid w:val="008A1570"/>
    <w:rsid w:val="008B40CE"/>
    <w:rsid w:val="008D0BED"/>
    <w:rsid w:val="008D1319"/>
    <w:rsid w:val="008D19BF"/>
    <w:rsid w:val="008D29A3"/>
    <w:rsid w:val="008D6358"/>
    <w:rsid w:val="008F2292"/>
    <w:rsid w:val="008F251F"/>
    <w:rsid w:val="008F2951"/>
    <w:rsid w:val="0090252F"/>
    <w:rsid w:val="00921F1F"/>
    <w:rsid w:val="009263AA"/>
    <w:rsid w:val="009379F2"/>
    <w:rsid w:val="00937EB1"/>
    <w:rsid w:val="00945436"/>
    <w:rsid w:val="009479DB"/>
    <w:rsid w:val="009554C9"/>
    <w:rsid w:val="009766F6"/>
    <w:rsid w:val="00987150"/>
    <w:rsid w:val="00992295"/>
    <w:rsid w:val="009A3301"/>
    <w:rsid w:val="009A3C39"/>
    <w:rsid w:val="009A7914"/>
    <w:rsid w:val="009B752F"/>
    <w:rsid w:val="009C5B40"/>
    <w:rsid w:val="009D379E"/>
    <w:rsid w:val="009D40FE"/>
    <w:rsid w:val="009D5686"/>
    <w:rsid w:val="009F2F05"/>
    <w:rsid w:val="00A01ECD"/>
    <w:rsid w:val="00A1457B"/>
    <w:rsid w:val="00A22DB4"/>
    <w:rsid w:val="00A27985"/>
    <w:rsid w:val="00A30353"/>
    <w:rsid w:val="00A33425"/>
    <w:rsid w:val="00A36B26"/>
    <w:rsid w:val="00A44045"/>
    <w:rsid w:val="00A519EF"/>
    <w:rsid w:val="00A54BBB"/>
    <w:rsid w:val="00A5571F"/>
    <w:rsid w:val="00A718D6"/>
    <w:rsid w:val="00A82660"/>
    <w:rsid w:val="00A913F3"/>
    <w:rsid w:val="00A94AC9"/>
    <w:rsid w:val="00AB0E36"/>
    <w:rsid w:val="00AD3B6F"/>
    <w:rsid w:val="00AD7FE8"/>
    <w:rsid w:val="00AE105E"/>
    <w:rsid w:val="00AE2DAE"/>
    <w:rsid w:val="00B036F2"/>
    <w:rsid w:val="00B07398"/>
    <w:rsid w:val="00B12AF0"/>
    <w:rsid w:val="00B212D5"/>
    <w:rsid w:val="00B24EBF"/>
    <w:rsid w:val="00B26FA8"/>
    <w:rsid w:val="00B30CA3"/>
    <w:rsid w:val="00B34365"/>
    <w:rsid w:val="00B36C0D"/>
    <w:rsid w:val="00B40CF1"/>
    <w:rsid w:val="00B452AD"/>
    <w:rsid w:val="00B51FF3"/>
    <w:rsid w:val="00B6673C"/>
    <w:rsid w:val="00B820C0"/>
    <w:rsid w:val="00BA5E9D"/>
    <w:rsid w:val="00BA5F6F"/>
    <w:rsid w:val="00BB0029"/>
    <w:rsid w:val="00BB34B7"/>
    <w:rsid w:val="00BB6CC2"/>
    <w:rsid w:val="00BB7584"/>
    <w:rsid w:val="00BC06A2"/>
    <w:rsid w:val="00BD3477"/>
    <w:rsid w:val="00BD49D0"/>
    <w:rsid w:val="00BE1746"/>
    <w:rsid w:val="00BE55AA"/>
    <w:rsid w:val="00BF38E3"/>
    <w:rsid w:val="00C0524E"/>
    <w:rsid w:val="00C12A7C"/>
    <w:rsid w:val="00C3470D"/>
    <w:rsid w:val="00C40B86"/>
    <w:rsid w:val="00C4415E"/>
    <w:rsid w:val="00C50603"/>
    <w:rsid w:val="00C526A4"/>
    <w:rsid w:val="00C52B56"/>
    <w:rsid w:val="00C56DC7"/>
    <w:rsid w:val="00C62582"/>
    <w:rsid w:val="00C90F21"/>
    <w:rsid w:val="00CA3344"/>
    <w:rsid w:val="00CC1D6C"/>
    <w:rsid w:val="00CC36D9"/>
    <w:rsid w:val="00CF7EA7"/>
    <w:rsid w:val="00D02D4D"/>
    <w:rsid w:val="00D06A44"/>
    <w:rsid w:val="00D2326D"/>
    <w:rsid w:val="00D23316"/>
    <w:rsid w:val="00D2416F"/>
    <w:rsid w:val="00D24BBF"/>
    <w:rsid w:val="00D36919"/>
    <w:rsid w:val="00D55366"/>
    <w:rsid w:val="00D56813"/>
    <w:rsid w:val="00D61327"/>
    <w:rsid w:val="00D6240F"/>
    <w:rsid w:val="00D628DE"/>
    <w:rsid w:val="00D63BD2"/>
    <w:rsid w:val="00D704D5"/>
    <w:rsid w:val="00D70EFE"/>
    <w:rsid w:val="00D90A1D"/>
    <w:rsid w:val="00D91BDD"/>
    <w:rsid w:val="00DC1BFD"/>
    <w:rsid w:val="00DC4254"/>
    <w:rsid w:val="00DC7331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541A"/>
    <w:rsid w:val="00E4793E"/>
    <w:rsid w:val="00E65882"/>
    <w:rsid w:val="00E67612"/>
    <w:rsid w:val="00E717ED"/>
    <w:rsid w:val="00E94BFF"/>
    <w:rsid w:val="00E9634D"/>
    <w:rsid w:val="00EA5F73"/>
    <w:rsid w:val="00EB38A8"/>
    <w:rsid w:val="00EC74BA"/>
    <w:rsid w:val="00ED00C3"/>
    <w:rsid w:val="00ED25AF"/>
    <w:rsid w:val="00EE301E"/>
    <w:rsid w:val="00EF505B"/>
    <w:rsid w:val="00EF5793"/>
    <w:rsid w:val="00EF7B71"/>
    <w:rsid w:val="00F01E24"/>
    <w:rsid w:val="00F0210A"/>
    <w:rsid w:val="00F027FD"/>
    <w:rsid w:val="00F04285"/>
    <w:rsid w:val="00F10451"/>
    <w:rsid w:val="00F17A69"/>
    <w:rsid w:val="00F3403A"/>
    <w:rsid w:val="00F41A06"/>
    <w:rsid w:val="00F660E9"/>
    <w:rsid w:val="00F700CC"/>
    <w:rsid w:val="00F77A0A"/>
    <w:rsid w:val="00F804F7"/>
    <w:rsid w:val="00F80C57"/>
    <w:rsid w:val="00F8625B"/>
    <w:rsid w:val="00F8674F"/>
    <w:rsid w:val="00F87ACC"/>
    <w:rsid w:val="00FA0496"/>
    <w:rsid w:val="00FA4A65"/>
    <w:rsid w:val="00FA7DDD"/>
    <w:rsid w:val="00FC30CA"/>
    <w:rsid w:val="00FC4253"/>
    <w:rsid w:val="00FD4417"/>
    <w:rsid w:val="00FD507E"/>
    <w:rsid w:val="00FE642D"/>
    <w:rsid w:val="00FF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260F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0F7"/>
    <w:rPr>
      <w:color w:val="0000FF"/>
      <w:u w:val="single"/>
    </w:rPr>
  </w:style>
  <w:style w:type="character" w:styleId="FollowedHyperlink">
    <w:name w:val="FollowedHyperlink"/>
    <w:basedOn w:val="DefaultParagraphFont"/>
    <w:rsid w:val="008260F7"/>
    <w:rPr>
      <w:color w:val="800080"/>
      <w:u w:val="single"/>
    </w:rPr>
  </w:style>
  <w:style w:type="paragraph" w:styleId="Header">
    <w:name w:val="header"/>
    <w:basedOn w:val="Normal"/>
    <w:rsid w:val="00826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6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60F7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04285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NormalWeb">
    <w:name w:val="Normal (Web)"/>
    <w:basedOn w:val="Normal"/>
    <w:rsid w:val="006709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557C7"/>
    <w:rPr>
      <w:rFonts w:ascii="Times New Roman" w:hAnsi="Times New Roman" w:cs="Times New Roman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2D55F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633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H241_S13\Packets\Materials\Riess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0"/>
          <c:order val="0"/>
          <c:tx>
            <c:v>Average Values</c:v>
          </c:tx>
          <c:spPr>
            <a:ln w="28575">
              <a:noFill/>
            </a:ln>
          </c:spPr>
          <c:marker>
            <c:symbol val="none"/>
          </c:marker>
          <c:xVal>
            <c:numRef>
              <c:f>DM!$G$33:$G$38</c:f>
              <c:numCache>
                <c:formatCode>General</c:formatCode>
                <c:ptCount val="6"/>
                <c:pt idx="0">
                  <c:v>3.4328769866734339E-2</c:v>
                </c:pt>
                <c:pt idx="1">
                  <c:v>0.1704000610351564</c:v>
                </c:pt>
                <c:pt idx="2">
                  <c:v>0.38348168493200413</c:v>
                </c:pt>
                <c:pt idx="3">
                  <c:v>0.53712516784667952</c:v>
                </c:pt>
                <c:pt idx="4">
                  <c:v>0.81050019420276787</c:v>
                </c:pt>
                <c:pt idx="5">
                  <c:v>0.98566700575086563</c:v>
                </c:pt>
              </c:numCache>
            </c:numRef>
          </c:xVal>
          <c:yVal>
            <c:numRef>
              <c:f>DM!$H$33:$H$38</c:f>
              <c:numCache>
                <c:formatCode>General</c:formatCode>
                <c:ptCount val="6"/>
                <c:pt idx="0">
                  <c:v>35.675772153253426</c:v>
                </c:pt>
                <c:pt idx="1">
                  <c:v>39.676019531250006</c:v>
                </c:pt>
                <c:pt idx="2">
                  <c:v>41.644847366898027</c:v>
                </c:pt>
                <c:pt idx="3">
                  <c:v>42.672786132812497</c:v>
                </c:pt>
                <c:pt idx="4">
                  <c:v>43.634582741477281</c:v>
                </c:pt>
                <c:pt idx="5">
                  <c:v>44.146701388888999</c:v>
                </c:pt>
              </c:numCache>
            </c:numRef>
          </c:yVal>
        </c:ser>
        <c:ser>
          <c:idx val="1"/>
          <c:order val="1"/>
          <c:tx>
            <c:v>No Accel Line</c:v>
          </c:tx>
          <c:spPr>
            <a:ln w="1905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DM!$G$41:$G$55</c:f>
              <c:numCache>
                <c:formatCode>General</c:formatCode>
                <c:ptCount val="15"/>
                <c:pt idx="0">
                  <c:v>1.0000000000000023E-2</c:v>
                </c:pt>
                <c:pt idx="1">
                  <c:v>3.0000000000000058E-2</c:v>
                </c:pt>
                <c:pt idx="2">
                  <c:v>5.00000000000001E-2</c:v>
                </c:pt>
                <c:pt idx="3">
                  <c:v>7.5000000000000108E-2</c:v>
                </c:pt>
                <c:pt idx="4">
                  <c:v>0.1</c:v>
                </c:pt>
                <c:pt idx="5">
                  <c:v>0.15000000000000024</c:v>
                </c:pt>
                <c:pt idx="6">
                  <c:v>0.2</c:v>
                </c:pt>
                <c:pt idx="7">
                  <c:v>0.30000000000000032</c:v>
                </c:pt>
                <c:pt idx="8">
                  <c:v>0.5</c:v>
                </c:pt>
                <c:pt idx="9">
                  <c:v>0.75000000000000178</c:v>
                </c:pt>
                <c:pt idx="10">
                  <c:v>1</c:v>
                </c:pt>
                <c:pt idx="11">
                  <c:v>1.3</c:v>
                </c:pt>
                <c:pt idx="12">
                  <c:v>1.6</c:v>
                </c:pt>
                <c:pt idx="13">
                  <c:v>2</c:v>
                </c:pt>
                <c:pt idx="14">
                  <c:v>10</c:v>
                </c:pt>
              </c:numCache>
            </c:numRef>
          </c:xVal>
          <c:yVal>
            <c:numRef>
              <c:f>DM!$H$41:$H$55</c:f>
              <c:numCache>
                <c:formatCode>General</c:formatCode>
                <c:ptCount val="15"/>
                <c:pt idx="0">
                  <c:v>33.229457804262992</c:v>
                </c:pt>
                <c:pt idx="1">
                  <c:v>35.615064077861184</c:v>
                </c:pt>
                <c:pt idx="2">
                  <c:v>36.724307825943086</c:v>
                </c:pt>
                <c:pt idx="3">
                  <c:v>37.604764121221386</c:v>
                </c:pt>
                <c:pt idx="4">
                  <c:v>38.229457804262992</c:v>
                </c:pt>
                <c:pt idx="5">
                  <c:v>39.109914099541399</c:v>
                </c:pt>
                <c:pt idx="6">
                  <c:v>39.734607782582898</c:v>
                </c:pt>
                <c:pt idx="7">
                  <c:v>40.615064077861184</c:v>
                </c:pt>
                <c:pt idx="8">
                  <c:v>41.724307825943086</c:v>
                </c:pt>
                <c:pt idx="9">
                  <c:v>42.604764121221386</c:v>
                </c:pt>
                <c:pt idx="10">
                  <c:v>43.229457804262992</c:v>
                </c:pt>
                <c:pt idx="11">
                  <c:v>43.799174565797145</c:v>
                </c:pt>
                <c:pt idx="12">
                  <c:v>44.250057717542447</c:v>
                </c:pt>
                <c:pt idx="13">
                  <c:v>44.734607782582898</c:v>
                </c:pt>
                <c:pt idx="14">
                  <c:v>48.229457804262992</c:v>
                </c:pt>
              </c:numCache>
            </c:numRef>
          </c:yVal>
        </c:ser>
        <c:ser>
          <c:idx val="2"/>
          <c:order val="2"/>
          <c:tx>
            <c:v>High z data</c:v>
          </c:tx>
          <c:spPr>
            <a:ln w="28575">
              <a:noFill/>
            </a:ln>
          </c:spPr>
          <c:marker>
            <c:symbol val="none"/>
          </c:marker>
          <c:xVal>
            <c:numRef>
              <c:f>DM!$A$177:$A$186</c:f>
              <c:numCache>
                <c:formatCode>General</c:formatCode>
                <c:ptCount val="10"/>
                <c:pt idx="0">
                  <c:v>1.056</c:v>
                </c:pt>
                <c:pt idx="1">
                  <c:v>1.1400006103515601</c:v>
                </c:pt>
                <c:pt idx="2">
                  <c:v>1.1900006103515601</c:v>
                </c:pt>
                <c:pt idx="3">
                  <c:v>1.2650006103515599</c:v>
                </c:pt>
                <c:pt idx="4">
                  <c:v>1.30000122070313</c:v>
                </c:pt>
                <c:pt idx="5">
                  <c:v>1.3050012207031199</c:v>
                </c:pt>
                <c:pt idx="6">
                  <c:v>1.34000122070313</c:v>
                </c:pt>
                <c:pt idx="7">
                  <c:v>1.4000012207031198</c:v>
                </c:pt>
                <c:pt idx="8">
                  <c:v>1.5509999999999966</c:v>
                </c:pt>
                <c:pt idx="9">
                  <c:v>1.7550012207031298</c:v>
                </c:pt>
              </c:numCache>
            </c:numRef>
          </c:xVal>
          <c:yVal>
            <c:numRef>
              <c:f>DM!$B$177:$B$186</c:f>
              <c:numCache>
                <c:formatCode>General</c:formatCode>
                <c:ptCount val="10"/>
                <c:pt idx="0">
                  <c:v>44.25</c:v>
                </c:pt>
                <c:pt idx="1">
                  <c:v>44.840039062499997</c:v>
                </c:pt>
                <c:pt idx="2">
                  <c:v>44.190039062500013</c:v>
                </c:pt>
                <c:pt idx="3">
                  <c:v>45.200039062500011</c:v>
                </c:pt>
                <c:pt idx="4">
                  <c:v>45.270039062500011</c:v>
                </c:pt>
                <c:pt idx="5">
                  <c:v>44.700039062500011</c:v>
                </c:pt>
                <c:pt idx="6">
                  <c:v>45.050039062499998</c:v>
                </c:pt>
                <c:pt idx="7">
                  <c:v>45.090039062500011</c:v>
                </c:pt>
                <c:pt idx="8">
                  <c:v>45.300039062499998</c:v>
                </c:pt>
                <c:pt idx="9">
                  <c:v>45.530039062500002</c:v>
                </c:pt>
              </c:numCache>
            </c:numRef>
          </c:yVal>
        </c:ser>
        <c:axId val="101266560"/>
        <c:axId val="101268480"/>
      </c:scatterChart>
      <c:valAx>
        <c:axId val="101266560"/>
        <c:scaling>
          <c:orientation val="minMax"/>
          <c:max val="2"/>
          <c:min val="0"/>
        </c:scaling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Redshift (z = velocity/c)</a:t>
                </a:r>
              </a:p>
            </c:rich>
          </c:tx>
        </c:title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crossAx val="101268480"/>
        <c:crossesAt val="32"/>
        <c:crossBetween val="midCat"/>
        <c:majorUnit val="0.2"/>
        <c:minorUnit val="0.1"/>
      </c:valAx>
      <c:valAx>
        <c:axId val="101268480"/>
        <c:scaling>
          <c:orientation val="minMax"/>
          <c:max val="48"/>
          <c:min val="32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Galaxy Distance Modulus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spPr>
          <a:ln cmpd="sng">
            <a:solidFill>
              <a:schemeClr val="tx1"/>
            </a:solidFill>
          </a:ln>
        </c:spPr>
        <c:crossAx val="101266560"/>
        <c:crossesAt val="0"/>
        <c:crossBetween val="midCat"/>
        <c:minorUnit val="1"/>
      </c:valAx>
      <c:spPr>
        <a:noFill/>
        <a:ln>
          <a:solidFill>
            <a:sysClr val="windowText" lastClr="000000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2013-03-28T18:08:00Z</cp:lastPrinted>
  <dcterms:created xsi:type="dcterms:W3CDTF">2013-06-22T02:27:00Z</dcterms:created>
  <dcterms:modified xsi:type="dcterms:W3CDTF">2013-06-22T02:31:00Z</dcterms:modified>
</cp:coreProperties>
</file>