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70" w:rsidRDefault="004A12C2" w:rsidP="00134270">
      <w:pPr>
        <w:spacing w:before="100" w:beforeAutospacing="1" w:after="100" w:afterAutospacing="1"/>
        <w:jc w:val="center"/>
        <w:rPr>
          <w:b/>
          <w:sz w:val="22"/>
        </w:rPr>
      </w:pPr>
      <w:r w:rsidRPr="00721F0B">
        <w:rPr>
          <w:b/>
          <w:sz w:val="22"/>
        </w:rPr>
        <w:t>Recession Velocities</w:t>
      </w:r>
    </w:p>
    <w:p w:rsidR="004A12C2" w:rsidRDefault="004A12C2" w:rsidP="004A12C2">
      <w:pPr>
        <w:spacing w:before="100" w:beforeAutospacing="1" w:after="100" w:afterAutospacing="1"/>
      </w:pPr>
      <w:r w:rsidRPr="0040417F">
        <w:rPr>
          <w:sz w:val="22"/>
        </w:rPr>
        <w:t xml:space="preserve">The </w:t>
      </w:r>
      <w:r>
        <w:rPr>
          <w:sz w:val="22"/>
        </w:rPr>
        <w:t xml:space="preserve">radial </w:t>
      </w:r>
      <w:r w:rsidRPr="0040417F">
        <w:rPr>
          <w:sz w:val="22"/>
        </w:rPr>
        <w:t xml:space="preserve">velocity of a galaxy is measured using the Doppler </w:t>
      </w:r>
      <w:proofErr w:type="gramStart"/>
      <w:r w:rsidRPr="0040417F">
        <w:rPr>
          <w:sz w:val="22"/>
        </w:rPr>
        <w:t>effect</w:t>
      </w:r>
      <w:proofErr w:type="gramEnd"/>
      <w:r w:rsidRPr="0040417F">
        <w:rPr>
          <w:sz w:val="22"/>
        </w:rPr>
        <w:t xml:space="preserve"> and is given by</w:t>
      </w:r>
      <w:r>
        <w:t xml:space="preserve">: </w:t>
      </w:r>
    </w:p>
    <w:p w:rsidR="004A12C2" w:rsidRPr="00F41F5F" w:rsidRDefault="004A12C2" w:rsidP="004A12C2">
      <w:pPr>
        <w:spacing w:before="100" w:beforeAutospacing="1" w:after="100" w:afterAutospacing="1"/>
        <w:jc w:val="center"/>
      </w:pPr>
      <w:r w:rsidRPr="00F41F5F">
        <w:rPr>
          <w:sz w:val="24"/>
          <w:szCs w:val="28"/>
        </w:rPr>
        <w:t>v = c</w:t>
      </w:r>
      <w:r w:rsidRPr="00F41F5F">
        <w:rPr>
          <w:sz w:val="18"/>
        </w:rPr>
        <w:t xml:space="preserve"> * (</w:t>
      </w:r>
      <w:r w:rsidRPr="00F41F5F">
        <w:rPr>
          <w:rFonts w:ascii="Symbol" w:hAnsi="Symbol"/>
          <w:sz w:val="24"/>
          <w:szCs w:val="28"/>
        </w:rPr>
        <w:t></w:t>
      </w:r>
      <w:r w:rsidRPr="00F41F5F">
        <w:rPr>
          <w:rFonts w:ascii="Symbol" w:hAnsi="Symbol"/>
          <w:sz w:val="24"/>
          <w:szCs w:val="28"/>
        </w:rPr>
        <w:t></w:t>
      </w:r>
      <w:r w:rsidRPr="00F41F5F">
        <w:rPr>
          <w:rFonts w:ascii="Symbol" w:hAnsi="Symbol"/>
          <w:sz w:val="24"/>
          <w:szCs w:val="28"/>
        </w:rPr>
        <w:t></w:t>
      </w:r>
      <w:r w:rsidRPr="00F41F5F">
        <w:rPr>
          <w:rFonts w:ascii="Symbol" w:hAnsi="Symbol"/>
          <w:sz w:val="24"/>
          <w:szCs w:val="28"/>
        </w:rPr>
        <w:t></w:t>
      </w:r>
      <w:r w:rsidRPr="00F41F5F">
        <w:rPr>
          <w:rFonts w:ascii="Symbol" w:hAnsi="Symbol"/>
          <w:sz w:val="24"/>
          <w:szCs w:val="28"/>
        </w:rPr>
        <w:t></w:t>
      </w:r>
      <w:r w:rsidRPr="00F41F5F">
        <w:rPr>
          <w:rFonts w:ascii="Symbol" w:hAnsi="Symbol"/>
          <w:sz w:val="24"/>
          <w:szCs w:val="28"/>
        </w:rPr>
        <w:t></w:t>
      </w:r>
    </w:p>
    <w:p w:rsidR="004A12C2" w:rsidRPr="0040417F" w:rsidRDefault="004A12C2" w:rsidP="004A12C2">
      <w:pPr>
        <w:rPr>
          <w:sz w:val="22"/>
          <w:szCs w:val="22"/>
        </w:rPr>
      </w:pPr>
      <w:r w:rsidRPr="0040417F">
        <w:rPr>
          <w:sz w:val="22"/>
          <w:szCs w:val="22"/>
        </w:rPr>
        <w:t xml:space="preserve">where </w:t>
      </w:r>
      <w:r w:rsidRPr="0040417F">
        <w:rPr>
          <w:b/>
          <w:sz w:val="22"/>
          <w:szCs w:val="22"/>
        </w:rPr>
        <w:t>v</w:t>
      </w:r>
      <w:r w:rsidRPr="0040417F">
        <w:rPr>
          <w:sz w:val="22"/>
          <w:szCs w:val="22"/>
        </w:rPr>
        <w:t xml:space="preserve"> is the </w:t>
      </w:r>
      <w:r>
        <w:rPr>
          <w:sz w:val="22"/>
          <w:szCs w:val="22"/>
        </w:rPr>
        <w:t xml:space="preserve">radial </w:t>
      </w:r>
      <w:r w:rsidRPr="0040417F">
        <w:rPr>
          <w:sz w:val="22"/>
          <w:szCs w:val="22"/>
        </w:rPr>
        <w:t xml:space="preserve">velocity in km/sec, </w:t>
      </w:r>
      <w:r w:rsidRPr="0040417F">
        <w:rPr>
          <w:b/>
          <w:sz w:val="22"/>
          <w:szCs w:val="22"/>
        </w:rPr>
        <w:t>c</w:t>
      </w:r>
      <w:r w:rsidRPr="0040417F">
        <w:rPr>
          <w:sz w:val="22"/>
          <w:szCs w:val="22"/>
        </w:rPr>
        <w:t xml:space="preserve"> is the speed of light (300,000 km/sec),</w:t>
      </w:r>
      <w:r w:rsidRPr="0040417F">
        <w:rPr>
          <w:rFonts w:ascii="Symbol" w:hAnsi="Symbol"/>
          <w:sz w:val="22"/>
          <w:szCs w:val="22"/>
        </w:rPr>
        <w:t></w:t>
      </w:r>
      <w:r w:rsidRPr="0040417F">
        <w:rPr>
          <w:rFonts w:ascii="Symbol" w:hAnsi="Symbol"/>
          <w:sz w:val="22"/>
          <w:szCs w:val="22"/>
        </w:rPr>
        <w:t></w:t>
      </w:r>
      <w:r w:rsidRPr="0040417F">
        <w:rPr>
          <w:sz w:val="22"/>
          <w:szCs w:val="22"/>
        </w:rPr>
        <w:t xml:space="preserve"> is the </w:t>
      </w:r>
      <w:r>
        <w:rPr>
          <w:sz w:val="22"/>
          <w:szCs w:val="22"/>
        </w:rPr>
        <w:t>laboratory or rest</w:t>
      </w:r>
      <w:r w:rsidRPr="0040417F">
        <w:rPr>
          <w:sz w:val="22"/>
          <w:szCs w:val="22"/>
        </w:rPr>
        <w:t xml:space="preserve"> wavelength of the radiation, and </w:t>
      </w:r>
      <w:r w:rsidRPr="0040417F">
        <w:rPr>
          <w:rFonts w:ascii="Symbol" w:hAnsi="Symbol"/>
          <w:sz w:val="22"/>
          <w:szCs w:val="22"/>
        </w:rPr>
        <w:t></w:t>
      </w:r>
      <w:r w:rsidRPr="0040417F">
        <w:rPr>
          <w:rFonts w:ascii="Symbol" w:hAnsi="Symbol"/>
          <w:sz w:val="22"/>
          <w:szCs w:val="22"/>
        </w:rPr>
        <w:t></w:t>
      </w:r>
      <w:r w:rsidRPr="0040417F">
        <w:rPr>
          <w:sz w:val="22"/>
          <w:szCs w:val="22"/>
        </w:rPr>
        <w:t xml:space="preserve"> is the </w:t>
      </w:r>
      <w:r>
        <w:rPr>
          <w:sz w:val="22"/>
          <w:szCs w:val="22"/>
        </w:rPr>
        <w:t>shift in wavelength shift</w:t>
      </w:r>
      <w:r w:rsidRPr="0040417F">
        <w:rPr>
          <w:sz w:val="22"/>
          <w:szCs w:val="22"/>
        </w:rPr>
        <w:t xml:space="preserve"> towards longer wavelengths (</w:t>
      </w:r>
      <w:r w:rsidRPr="0040417F">
        <w:rPr>
          <w:rFonts w:ascii="Symbol" w:hAnsi="Symbol"/>
          <w:sz w:val="22"/>
          <w:szCs w:val="22"/>
        </w:rPr>
        <w:t></w:t>
      </w:r>
      <w:r w:rsidRPr="0040417F">
        <w:rPr>
          <w:rFonts w:ascii="Symbol" w:hAnsi="Symbol"/>
          <w:sz w:val="22"/>
          <w:szCs w:val="22"/>
        </w:rPr>
        <w:t></w:t>
      </w:r>
      <w:r w:rsidRPr="0040417F">
        <w:rPr>
          <w:sz w:val="22"/>
          <w:szCs w:val="22"/>
        </w:rPr>
        <w:t xml:space="preserve">  = the observed wavelength minus the rest wavelength).  For these spectra, wavelengths </w:t>
      </w:r>
      <w:proofErr w:type="gramStart"/>
      <w:r w:rsidRPr="0040417F">
        <w:rPr>
          <w:sz w:val="22"/>
          <w:szCs w:val="22"/>
        </w:rPr>
        <w:t xml:space="preserve">are </w:t>
      </w:r>
      <w:r>
        <w:rPr>
          <w:sz w:val="22"/>
          <w:szCs w:val="22"/>
        </w:rPr>
        <w:t>measured</w:t>
      </w:r>
      <w:proofErr w:type="gramEnd"/>
      <w:r>
        <w:rPr>
          <w:sz w:val="22"/>
          <w:szCs w:val="22"/>
        </w:rPr>
        <w:t xml:space="preserve"> in Angstroms (Å) (a</w:t>
      </w:r>
      <w:r w:rsidRPr="0040417F">
        <w:rPr>
          <w:sz w:val="22"/>
          <w:szCs w:val="22"/>
        </w:rPr>
        <w:t>n Angstrom is 1/10 of a nanometer, 10</w:t>
      </w:r>
      <w:r w:rsidRPr="0040417F">
        <w:rPr>
          <w:sz w:val="22"/>
          <w:szCs w:val="22"/>
          <w:vertAlign w:val="superscript"/>
        </w:rPr>
        <w:t>-10</w:t>
      </w:r>
      <w:r w:rsidRPr="0040417F">
        <w:rPr>
          <w:sz w:val="22"/>
          <w:szCs w:val="22"/>
        </w:rPr>
        <w:t xml:space="preserve"> meters</w:t>
      </w:r>
      <w:r>
        <w:rPr>
          <w:sz w:val="22"/>
          <w:szCs w:val="22"/>
        </w:rPr>
        <w:t>)</w:t>
      </w:r>
      <w:r w:rsidRPr="0040417F">
        <w:rPr>
          <w:sz w:val="22"/>
          <w:szCs w:val="22"/>
        </w:rPr>
        <w:t>.  The red-w</w:t>
      </w:r>
      <w:r>
        <w:rPr>
          <w:sz w:val="22"/>
          <w:szCs w:val="22"/>
        </w:rPr>
        <w:t xml:space="preserve">ard shift of a spectral line </w:t>
      </w:r>
      <w:r w:rsidRPr="0040417F">
        <w:rPr>
          <w:sz w:val="22"/>
          <w:szCs w:val="22"/>
        </w:rPr>
        <w:t xml:space="preserve">relative to its rest wavelength, </w:t>
      </w:r>
      <w:r w:rsidRPr="0040417F">
        <w:rPr>
          <w:rFonts w:ascii="Symbol" w:hAnsi="Symbol"/>
          <w:sz w:val="22"/>
          <w:szCs w:val="22"/>
        </w:rPr>
        <w:t></w:t>
      </w:r>
      <w:r w:rsidRPr="0040417F">
        <w:rPr>
          <w:rFonts w:ascii="Symbol" w:hAnsi="Symbol"/>
          <w:sz w:val="22"/>
          <w:szCs w:val="22"/>
        </w:rPr>
        <w:t></w:t>
      </w:r>
      <w:r w:rsidRPr="0040417F">
        <w:rPr>
          <w:rFonts w:ascii="Symbol" w:hAnsi="Symbol"/>
          <w:sz w:val="22"/>
          <w:szCs w:val="22"/>
        </w:rPr>
        <w:t></w:t>
      </w:r>
      <w:r w:rsidRPr="0040417F">
        <w:rPr>
          <w:rFonts w:ascii="Symbol" w:hAnsi="Symbol"/>
          <w:sz w:val="22"/>
          <w:szCs w:val="22"/>
        </w:rPr>
        <w:t></w:t>
      </w:r>
      <w:r w:rsidRPr="0040417F">
        <w:rPr>
          <w:rFonts w:ascii="Symbol" w:hAnsi="Symbol"/>
          <w:sz w:val="22"/>
          <w:szCs w:val="22"/>
        </w:rPr>
        <w:t></w:t>
      </w:r>
      <w:r w:rsidRPr="0040417F">
        <w:rPr>
          <w:rFonts w:ascii="Symbol" w:hAnsi="Symbol"/>
          <w:b/>
          <w:sz w:val="22"/>
          <w:szCs w:val="22"/>
        </w:rPr>
        <w:t></w:t>
      </w:r>
      <w:r w:rsidRPr="0040417F">
        <w:rPr>
          <w:rFonts w:ascii="Symbol" w:hAnsi="Symbol"/>
          <w:b/>
          <w:sz w:val="22"/>
          <w:szCs w:val="22"/>
        </w:rPr>
        <w:t></w:t>
      </w:r>
      <w:r w:rsidRPr="0040417F">
        <w:rPr>
          <w:sz w:val="22"/>
          <w:szCs w:val="22"/>
        </w:rPr>
        <w:t xml:space="preserve"> </w:t>
      </w:r>
      <w:proofErr w:type="gramStart"/>
      <w:r w:rsidRPr="0040417F">
        <w:rPr>
          <w:sz w:val="22"/>
          <w:szCs w:val="22"/>
        </w:rPr>
        <w:t>is known</w:t>
      </w:r>
      <w:proofErr w:type="gramEnd"/>
      <w:r w:rsidRPr="0040417F">
        <w:rPr>
          <w:sz w:val="22"/>
          <w:szCs w:val="22"/>
        </w:rPr>
        <w:t xml:space="preserve"> as the </w:t>
      </w:r>
      <w:r w:rsidRPr="0040417F">
        <w:rPr>
          <w:i/>
          <w:sz w:val="22"/>
          <w:szCs w:val="22"/>
        </w:rPr>
        <w:t>redshift</w:t>
      </w:r>
      <w:r w:rsidRPr="0040417F">
        <w:rPr>
          <w:sz w:val="22"/>
          <w:szCs w:val="22"/>
        </w:rPr>
        <w:t xml:space="preserve">, and is often denoted by the letter </w:t>
      </w:r>
      <w:r w:rsidRPr="0040417F">
        <w:rPr>
          <w:i/>
          <w:iCs/>
          <w:sz w:val="22"/>
          <w:szCs w:val="22"/>
        </w:rPr>
        <w:t>z</w:t>
      </w:r>
      <w:r w:rsidRPr="0040417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Radial velocity is motion directly toward or away from an observer.</w:t>
      </w:r>
    </w:p>
    <w:p w:rsidR="004A12C2" w:rsidRPr="0040417F" w:rsidRDefault="004A12C2" w:rsidP="004A12C2">
      <w:pPr>
        <w:rPr>
          <w:sz w:val="22"/>
          <w:szCs w:val="22"/>
        </w:rPr>
      </w:pPr>
    </w:p>
    <w:p w:rsidR="004A12C2" w:rsidRPr="0040417F" w:rsidRDefault="004A12C2" w:rsidP="004A12C2">
      <w:pPr>
        <w:rPr>
          <w:sz w:val="22"/>
          <w:szCs w:val="22"/>
        </w:rPr>
      </w:pPr>
      <w:r w:rsidRPr="0040417F">
        <w:rPr>
          <w:sz w:val="22"/>
          <w:szCs w:val="22"/>
        </w:rPr>
        <w:t xml:space="preserve">We can determine the velocity and redshift of a galaxy from its spectrum: we measure the wavelength shift of a known absorption line and solve for </w:t>
      </w:r>
      <w:r>
        <w:rPr>
          <w:sz w:val="22"/>
          <w:szCs w:val="22"/>
        </w:rPr>
        <w:t>the velocity</w:t>
      </w:r>
      <w:r w:rsidRPr="0040417F">
        <w:rPr>
          <w:sz w:val="22"/>
          <w:szCs w:val="22"/>
        </w:rPr>
        <w:t xml:space="preserve">. </w:t>
      </w:r>
    </w:p>
    <w:p w:rsidR="004A12C2" w:rsidRDefault="004A12C2" w:rsidP="004A12C2"/>
    <w:p w:rsidR="004A12C2" w:rsidRPr="00721F0B" w:rsidRDefault="004A12C2" w:rsidP="004A12C2">
      <w:pPr>
        <w:ind w:left="720"/>
        <w:rPr>
          <w:i/>
          <w:iCs/>
          <w:sz w:val="22"/>
        </w:rPr>
      </w:pPr>
      <w:r w:rsidRPr="00721F0B">
        <w:rPr>
          <w:b/>
          <w:sz w:val="22"/>
        </w:rPr>
        <w:t>Example</w:t>
      </w:r>
      <w:r w:rsidRPr="00721F0B">
        <w:rPr>
          <w:sz w:val="22"/>
        </w:rPr>
        <w:t xml:space="preserve">: </w:t>
      </w:r>
      <w:r w:rsidRPr="00721F0B">
        <w:rPr>
          <w:i/>
          <w:iCs/>
          <w:sz w:val="22"/>
        </w:rPr>
        <w:t xml:space="preserve">An absorption line that </w:t>
      </w:r>
      <w:proofErr w:type="gramStart"/>
      <w:r w:rsidRPr="00721F0B">
        <w:rPr>
          <w:i/>
          <w:iCs/>
          <w:sz w:val="22"/>
        </w:rPr>
        <w:t>is found</w:t>
      </w:r>
      <w:proofErr w:type="gramEnd"/>
      <w:r w:rsidRPr="00721F0B">
        <w:rPr>
          <w:i/>
          <w:iCs/>
          <w:sz w:val="22"/>
        </w:rPr>
        <w:t xml:space="preserve"> at 5000Å in the lab is found at 5050Å when analyzing the spectrum of a particular galaxy. </w:t>
      </w:r>
      <w:r>
        <w:rPr>
          <w:i/>
          <w:iCs/>
          <w:sz w:val="22"/>
        </w:rPr>
        <w:t xml:space="preserve"> </w:t>
      </w:r>
      <w:proofErr w:type="gramStart"/>
      <w:r w:rsidRPr="00721F0B">
        <w:rPr>
          <w:i/>
          <w:iCs/>
          <w:sz w:val="22"/>
        </w:rPr>
        <w:t>Therefore</w:t>
      </w:r>
      <w:proofErr w:type="gramEnd"/>
      <w:r w:rsidRPr="00721F0B">
        <w:rPr>
          <w:i/>
          <w:iCs/>
          <w:sz w:val="22"/>
        </w:rPr>
        <w:t xml:space="preserve"> this galaxy is moving away from us with a velocity </w:t>
      </w:r>
    </w:p>
    <w:p w:rsidR="004A12C2" w:rsidRPr="00721F0B" w:rsidRDefault="004A12C2" w:rsidP="004A12C2">
      <w:pPr>
        <w:ind w:left="720"/>
        <w:jc w:val="center"/>
        <w:rPr>
          <w:i/>
          <w:iCs/>
          <w:sz w:val="22"/>
        </w:rPr>
      </w:pPr>
      <w:r w:rsidRPr="00721F0B">
        <w:rPr>
          <w:i/>
          <w:iCs/>
          <w:sz w:val="22"/>
        </w:rPr>
        <w:t>v = (50/5000) * c = 3</w:t>
      </w:r>
      <w:r>
        <w:rPr>
          <w:i/>
          <w:iCs/>
          <w:sz w:val="22"/>
        </w:rPr>
        <w:t>,</w:t>
      </w:r>
      <w:r w:rsidRPr="00721F0B">
        <w:rPr>
          <w:i/>
          <w:iCs/>
          <w:sz w:val="22"/>
        </w:rPr>
        <w:t>000 km/sec</w:t>
      </w:r>
    </w:p>
    <w:p w:rsidR="004A12C2" w:rsidRDefault="004A12C2" w:rsidP="004A12C2"/>
    <w:p w:rsidR="004A12C2" w:rsidRDefault="004A12C2" w:rsidP="004A12C2"/>
    <w:p w:rsidR="004A12C2" w:rsidRPr="002735FD" w:rsidRDefault="004A12C2" w:rsidP="004A12C2">
      <w:pPr>
        <w:rPr>
          <w:sz w:val="22"/>
        </w:rPr>
      </w:pPr>
      <w:r w:rsidRPr="00721F0B">
        <w:rPr>
          <w:sz w:val="22"/>
        </w:rPr>
        <w:t>Using the same website as above, click on “spectrum” for the two galaxies whose distances you measured.</w:t>
      </w:r>
      <w:r>
        <w:rPr>
          <w:sz w:val="22"/>
        </w:rPr>
        <w:t xml:space="preserve">  </w:t>
      </w:r>
      <w:r w:rsidRPr="00721F0B">
        <w:rPr>
          <w:sz w:val="22"/>
        </w:rPr>
        <w:t xml:space="preserve">The </w:t>
      </w:r>
      <w:r>
        <w:rPr>
          <w:sz w:val="22"/>
        </w:rPr>
        <w:t xml:space="preserve">full </w:t>
      </w:r>
      <w:r w:rsidRPr="00721F0B">
        <w:rPr>
          <w:sz w:val="22"/>
        </w:rPr>
        <w:t xml:space="preserve">optical spectrum of the galaxy </w:t>
      </w:r>
      <w:proofErr w:type="gramStart"/>
      <w:r w:rsidRPr="00721F0B">
        <w:rPr>
          <w:sz w:val="22"/>
        </w:rPr>
        <w:t>is shown</w:t>
      </w:r>
      <w:proofErr w:type="gramEnd"/>
      <w:r w:rsidRPr="00721F0B">
        <w:rPr>
          <w:sz w:val="22"/>
        </w:rPr>
        <w:t xml:space="preserve"> at the top of the spectrum page. </w:t>
      </w:r>
      <w:r>
        <w:rPr>
          <w:sz w:val="22"/>
        </w:rPr>
        <w:t xml:space="preserve"> </w:t>
      </w:r>
      <w:r w:rsidRPr="00721F0B">
        <w:rPr>
          <w:sz w:val="22"/>
        </w:rPr>
        <w:t xml:space="preserve">Shown are many different spectral features, including absorption lines and emission lines, superimposed on continuum emission from the galaxy, over the entire visible-light </w:t>
      </w:r>
      <w:r>
        <w:rPr>
          <w:sz w:val="22"/>
        </w:rPr>
        <w:t>spectrum</w:t>
      </w:r>
      <w:proofErr w:type="gramStart"/>
      <w:r w:rsidRPr="00721F0B">
        <w:rPr>
          <w:sz w:val="22"/>
        </w:rPr>
        <w:t xml:space="preserve">. </w:t>
      </w:r>
      <w:proofErr w:type="gramEnd"/>
      <w:r w:rsidRPr="00721F0B">
        <w:rPr>
          <w:sz w:val="22"/>
        </w:rPr>
        <w:t xml:space="preserve">Below the full optical spectrum are enlarged portions of the same spectrum, </w:t>
      </w:r>
      <w:proofErr w:type="gramStart"/>
      <w:r w:rsidRPr="00721F0B">
        <w:rPr>
          <w:sz w:val="22"/>
        </w:rPr>
        <w:t>in the vicinity of</w:t>
      </w:r>
      <w:proofErr w:type="gramEnd"/>
      <w:r w:rsidRPr="00721F0B">
        <w:rPr>
          <w:sz w:val="22"/>
        </w:rPr>
        <w:t xml:space="preserve"> the spectral features of calcium and hydrogen. </w:t>
      </w:r>
    </w:p>
    <w:p w:rsidR="004A12C2" w:rsidRPr="00721F0B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  <w:r w:rsidRPr="00721F0B">
        <w:rPr>
          <w:sz w:val="22"/>
        </w:rPr>
        <w:t xml:space="preserve">The small dark bars near the lower left corner of the sub-spectrum indicate the rest </w:t>
      </w:r>
      <w:r>
        <w:rPr>
          <w:sz w:val="22"/>
        </w:rPr>
        <w:t>positions</w:t>
      </w:r>
      <w:r w:rsidRPr="00721F0B">
        <w:rPr>
          <w:sz w:val="22"/>
        </w:rPr>
        <w:t xml:space="preserve"> of particular lines</w:t>
      </w:r>
      <w:r>
        <w:rPr>
          <w:sz w:val="22"/>
        </w:rPr>
        <w:t xml:space="preserve"> as measured in the laboratory</w:t>
      </w:r>
      <w:r w:rsidRPr="00721F0B">
        <w:rPr>
          <w:sz w:val="22"/>
        </w:rPr>
        <w:t xml:space="preserve">. </w:t>
      </w:r>
      <w:r>
        <w:rPr>
          <w:sz w:val="22"/>
        </w:rPr>
        <w:t xml:space="preserve"> </w:t>
      </w:r>
      <w:r w:rsidRPr="00721F0B">
        <w:rPr>
          <w:sz w:val="22"/>
        </w:rPr>
        <w:t>Measure the</w:t>
      </w:r>
      <w:r>
        <w:rPr>
          <w:sz w:val="22"/>
        </w:rPr>
        <w:t xml:space="preserve"> “rest” position of two absorption lines of calcium (Ca K and Ca H) and measure the observed position in each galaxy</w:t>
      </w:r>
      <w:r w:rsidRPr="00721F0B">
        <w:rPr>
          <w:sz w:val="22"/>
        </w:rPr>
        <w:t xml:space="preserve"> by clicking </w:t>
      </w:r>
      <w:r>
        <w:rPr>
          <w:sz w:val="22"/>
        </w:rPr>
        <w:t xml:space="preserve">at the rest position and </w:t>
      </w:r>
      <w:r w:rsidRPr="00721F0B">
        <w:rPr>
          <w:sz w:val="22"/>
        </w:rPr>
        <w:t xml:space="preserve">at the </w:t>
      </w:r>
      <w:r>
        <w:rPr>
          <w:sz w:val="22"/>
        </w:rPr>
        <w:t>center</w:t>
      </w:r>
      <w:r w:rsidRPr="00721F0B">
        <w:rPr>
          <w:sz w:val="22"/>
        </w:rPr>
        <w:t xml:space="preserve"> of the spectral line in the galaxy's spectrum</w:t>
      </w:r>
      <w:r>
        <w:rPr>
          <w:sz w:val="22"/>
        </w:rPr>
        <w:t>.  Record the difference in the two positions</w:t>
      </w:r>
      <w:r w:rsidRPr="00721F0B">
        <w:rPr>
          <w:sz w:val="22"/>
        </w:rPr>
        <w:t xml:space="preserve">. </w:t>
      </w:r>
      <w:r>
        <w:rPr>
          <w:b/>
          <w:sz w:val="22"/>
        </w:rPr>
        <w:t xml:space="preserve"> </w:t>
      </w:r>
      <w:r>
        <w:rPr>
          <w:sz w:val="22"/>
        </w:rPr>
        <w:t xml:space="preserve">Measurements for NGC 1357 </w:t>
      </w:r>
      <w:proofErr w:type="gramStart"/>
      <w:r>
        <w:rPr>
          <w:sz w:val="22"/>
        </w:rPr>
        <w:t>have been entered</w:t>
      </w:r>
      <w:proofErr w:type="gramEnd"/>
      <w:r>
        <w:rPr>
          <w:sz w:val="22"/>
        </w:rPr>
        <w:t xml:space="preserve"> as an example.</w:t>
      </w: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tbl>
      <w:tblPr>
        <w:tblStyle w:val="TableGrid"/>
        <w:tblW w:w="0" w:type="auto"/>
        <w:jc w:val="center"/>
        <w:tblInd w:w="-792" w:type="dxa"/>
        <w:tblLook w:val="04A0"/>
      </w:tblPr>
      <w:tblGrid>
        <w:gridCol w:w="1494"/>
        <w:gridCol w:w="1620"/>
        <w:gridCol w:w="1566"/>
        <w:gridCol w:w="1530"/>
        <w:gridCol w:w="1674"/>
      </w:tblGrid>
      <w:tr w:rsidR="004A12C2" w:rsidTr="00D74EE3">
        <w:trPr>
          <w:jc w:val="center"/>
        </w:trPr>
        <w:tc>
          <w:tcPr>
            <w:tcW w:w="1494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Galaxy</w:t>
            </w:r>
          </w:p>
        </w:tc>
        <w:tc>
          <w:tcPr>
            <w:tcW w:w="1620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Ca K shift</w:t>
            </w:r>
          </w:p>
        </w:tc>
        <w:tc>
          <w:tcPr>
            <w:tcW w:w="1566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Ca H shift</w:t>
            </w:r>
          </w:p>
        </w:tc>
        <w:tc>
          <w:tcPr>
            <w:tcW w:w="1530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Average Line Shift</w:t>
            </w:r>
          </w:p>
        </w:tc>
        <w:tc>
          <w:tcPr>
            <w:tcW w:w="1674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Average Velocity of the Galaxy</w:t>
            </w:r>
          </w:p>
        </w:tc>
      </w:tr>
      <w:tr w:rsidR="004A12C2" w:rsidTr="00D74EE3">
        <w:trPr>
          <w:trHeight w:val="467"/>
          <w:jc w:val="center"/>
        </w:trPr>
        <w:tc>
          <w:tcPr>
            <w:tcW w:w="1494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NGC 1357</w:t>
            </w:r>
          </w:p>
        </w:tc>
        <w:tc>
          <w:tcPr>
            <w:tcW w:w="1620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194-158=36</w:t>
            </w:r>
          </w:p>
        </w:tc>
        <w:tc>
          <w:tcPr>
            <w:tcW w:w="1566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239-203=36</w:t>
            </w:r>
          </w:p>
        </w:tc>
        <w:tc>
          <w:tcPr>
            <w:tcW w:w="1530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674" w:type="dxa"/>
            <w:vAlign w:val="center"/>
          </w:tcPr>
          <w:p w:rsidR="004A12C2" w:rsidRDefault="004A12C2" w:rsidP="00D74EE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2135 km/s</w:t>
            </w:r>
          </w:p>
        </w:tc>
      </w:tr>
      <w:tr w:rsidR="004A12C2" w:rsidTr="00D74EE3">
        <w:trPr>
          <w:trHeight w:val="530"/>
          <w:jc w:val="center"/>
        </w:trPr>
        <w:tc>
          <w:tcPr>
            <w:tcW w:w="1494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620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6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30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674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A12C2" w:rsidTr="00D74EE3">
        <w:trPr>
          <w:trHeight w:val="530"/>
          <w:jc w:val="center"/>
        </w:trPr>
        <w:tc>
          <w:tcPr>
            <w:tcW w:w="1494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620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6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30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674" w:type="dxa"/>
          </w:tcPr>
          <w:p w:rsidR="004A12C2" w:rsidRDefault="004A12C2" w:rsidP="00D74EE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4A12C2" w:rsidRDefault="004A12C2" w:rsidP="004A12C2">
      <w:pPr>
        <w:autoSpaceDE w:val="0"/>
        <w:autoSpaceDN w:val="0"/>
        <w:adjustRightInd w:val="0"/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Default="004A12C2" w:rsidP="004A12C2">
      <w:pPr>
        <w:autoSpaceDE w:val="0"/>
        <w:autoSpaceDN w:val="0"/>
        <w:adjustRightInd w:val="0"/>
        <w:rPr>
          <w:sz w:val="22"/>
        </w:rPr>
      </w:pPr>
    </w:p>
    <w:p w:rsidR="004A12C2" w:rsidRPr="00104FD2" w:rsidRDefault="004A12C2" w:rsidP="004A12C2">
      <w:pPr>
        <w:autoSpaceDE w:val="0"/>
        <w:autoSpaceDN w:val="0"/>
        <w:adjustRightInd w:val="0"/>
        <w:rPr>
          <w:sz w:val="22"/>
        </w:rPr>
      </w:pPr>
      <w:r w:rsidRPr="00104FD2">
        <w:rPr>
          <w:sz w:val="22"/>
        </w:rPr>
        <w:t xml:space="preserve">The </w:t>
      </w:r>
      <w:r>
        <w:rPr>
          <w:sz w:val="22"/>
        </w:rPr>
        <w:t xml:space="preserve">galaxies’ </w:t>
      </w:r>
      <w:r w:rsidRPr="00104FD2">
        <w:rPr>
          <w:sz w:val="22"/>
        </w:rPr>
        <w:t xml:space="preserve">velocities </w:t>
      </w:r>
      <w:proofErr w:type="gramStart"/>
      <w:r w:rsidRPr="00104FD2">
        <w:rPr>
          <w:sz w:val="22"/>
        </w:rPr>
        <w:t>can be calculated</w:t>
      </w:r>
      <w:proofErr w:type="gramEnd"/>
      <w:r w:rsidRPr="00104FD2">
        <w:rPr>
          <w:sz w:val="22"/>
        </w:rPr>
        <w:t xml:space="preserve"> from the positions of the spectral lines as follows:</w:t>
      </w:r>
    </w:p>
    <w:p w:rsidR="004A12C2" w:rsidRDefault="004A12C2" w:rsidP="004A12C2">
      <w:pPr>
        <w:spacing w:before="100" w:beforeAutospacing="1" w:after="100" w:afterAutospacing="1"/>
        <w:jc w:val="center"/>
      </w:pPr>
      <w:r w:rsidRPr="004F085D">
        <w:rPr>
          <w:position w:val="-24"/>
        </w:rPr>
        <w:object w:dxaOrig="2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0.75pt" o:ole="">
            <v:imagedata r:id="rId8" o:title=""/>
          </v:shape>
          <o:OLEObject Type="Embed" ProgID="Equation.3" ShapeID="_x0000_i1025" DrawAspect="Content" ObjectID="_1425746940" r:id="rId9"/>
        </w:object>
      </w:r>
      <w:r>
        <w:t xml:space="preserve"> </w:t>
      </w:r>
      <w:proofErr w:type="gramStart"/>
      <w:r>
        <w:t>km/sec</w:t>
      </w:r>
      <w:proofErr w:type="gramEnd"/>
    </w:p>
    <w:p w:rsidR="004A12C2" w:rsidRPr="003D1AAC" w:rsidRDefault="004A12C2" w:rsidP="004A12C2">
      <w:pPr>
        <w:spacing w:before="100" w:beforeAutospacing="1" w:after="100" w:afterAutospacing="1"/>
        <w:rPr>
          <w:sz w:val="22"/>
        </w:rPr>
      </w:pPr>
      <w:proofErr w:type="gramStart"/>
      <w:r w:rsidRPr="003D1AAC">
        <w:rPr>
          <w:sz w:val="22"/>
        </w:rPr>
        <w:t>Or</w:t>
      </w:r>
      <w:proofErr w:type="gramEnd"/>
      <w:r w:rsidRPr="003D1AAC">
        <w:rPr>
          <w:sz w:val="22"/>
        </w:rPr>
        <w:t xml:space="preserve"> you can use the chart below to convert pixel shift to galaxy velocity.</w:t>
      </w:r>
    </w:p>
    <w:p w:rsidR="004A12C2" w:rsidRDefault="004A12C2" w:rsidP="004A12C2">
      <w:pPr>
        <w:spacing w:before="100" w:beforeAutospacing="1" w:after="100" w:afterAutospacing="1"/>
        <w:jc w:val="center"/>
        <w:rPr>
          <w:b/>
          <w:sz w:val="22"/>
        </w:rPr>
      </w:pPr>
      <w:r w:rsidRPr="00566B7B">
        <w:rPr>
          <w:b/>
          <w:noProof/>
          <w:sz w:val="22"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A12C2" w:rsidSect="002F25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CA" w:rsidRDefault="006001CA">
      <w:r>
        <w:separator/>
      </w:r>
    </w:p>
  </w:endnote>
  <w:endnote w:type="continuationSeparator" w:id="0">
    <w:p w:rsidR="006001CA" w:rsidRDefault="0060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954"/>
      <w:docPartObj>
        <w:docPartGallery w:val="Page Numbers (Bottom of Page)"/>
        <w:docPartUnique/>
      </w:docPartObj>
    </w:sdtPr>
    <w:sdtContent>
      <w:p w:rsidR="00DB31CB" w:rsidRDefault="00691302">
        <w:pPr>
          <w:pStyle w:val="Footer"/>
          <w:jc w:val="center"/>
        </w:pPr>
        <w:fldSimple w:instr=" PAGE   \* MERGEFORMAT ">
          <w:r w:rsidR="00134270">
            <w:rPr>
              <w:noProof/>
            </w:rPr>
            <w:t>1</w:t>
          </w:r>
        </w:fldSimple>
      </w:p>
    </w:sdtContent>
  </w:sdt>
  <w:p w:rsidR="00DB31CB" w:rsidRDefault="00DB31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CA" w:rsidRDefault="006001CA">
      <w:r>
        <w:separator/>
      </w:r>
    </w:p>
  </w:footnote>
  <w:footnote w:type="continuationSeparator" w:id="0">
    <w:p w:rsidR="006001CA" w:rsidRDefault="00600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">
    <w:nsid w:val="3E174367"/>
    <w:multiLevelType w:val="hybridMultilevel"/>
    <w:tmpl w:val="36E8BADE"/>
    <w:lvl w:ilvl="0" w:tplc="BC129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6315"/>
    <w:rsid w:val="00092876"/>
    <w:rsid w:val="000B1E3C"/>
    <w:rsid w:val="000E3E48"/>
    <w:rsid w:val="000E4003"/>
    <w:rsid w:val="00103170"/>
    <w:rsid w:val="00104FD2"/>
    <w:rsid w:val="0011220D"/>
    <w:rsid w:val="00112A6E"/>
    <w:rsid w:val="001249FB"/>
    <w:rsid w:val="00126D63"/>
    <w:rsid w:val="00134270"/>
    <w:rsid w:val="00145548"/>
    <w:rsid w:val="001456E0"/>
    <w:rsid w:val="0016380D"/>
    <w:rsid w:val="001645B1"/>
    <w:rsid w:val="00164F5B"/>
    <w:rsid w:val="00171A11"/>
    <w:rsid w:val="00172ABF"/>
    <w:rsid w:val="00194923"/>
    <w:rsid w:val="001B56B5"/>
    <w:rsid w:val="001B782B"/>
    <w:rsid w:val="001C098D"/>
    <w:rsid w:val="001C5F1F"/>
    <w:rsid w:val="001D019F"/>
    <w:rsid w:val="001D0B80"/>
    <w:rsid w:val="001D6632"/>
    <w:rsid w:val="001F2561"/>
    <w:rsid w:val="001F341E"/>
    <w:rsid w:val="001F770D"/>
    <w:rsid w:val="002068B5"/>
    <w:rsid w:val="00223B60"/>
    <w:rsid w:val="002304F7"/>
    <w:rsid w:val="002331D4"/>
    <w:rsid w:val="00234BEB"/>
    <w:rsid w:val="00247BB0"/>
    <w:rsid w:val="002735FD"/>
    <w:rsid w:val="002768AD"/>
    <w:rsid w:val="002905C3"/>
    <w:rsid w:val="002A2266"/>
    <w:rsid w:val="002B0F53"/>
    <w:rsid w:val="002F1431"/>
    <w:rsid w:val="002F2548"/>
    <w:rsid w:val="002F51C3"/>
    <w:rsid w:val="003022CF"/>
    <w:rsid w:val="003026C4"/>
    <w:rsid w:val="00321CD5"/>
    <w:rsid w:val="00331395"/>
    <w:rsid w:val="0034273A"/>
    <w:rsid w:val="00342AFC"/>
    <w:rsid w:val="00377181"/>
    <w:rsid w:val="003944DF"/>
    <w:rsid w:val="003B19F4"/>
    <w:rsid w:val="003C660C"/>
    <w:rsid w:val="003D1AAC"/>
    <w:rsid w:val="00400E03"/>
    <w:rsid w:val="0040417F"/>
    <w:rsid w:val="0041128F"/>
    <w:rsid w:val="00413A4C"/>
    <w:rsid w:val="004151BA"/>
    <w:rsid w:val="00421EF6"/>
    <w:rsid w:val="00423D17"/>
    <w:rsid w:val="00434E5D"/>
    <w:rsid w:val="00435117"/>
    <w:rsid w:val="004507D4"/>
    <w:rsid w:val="0047620D"/>
    <w:rsid w:val="0048573C"/>
    <w:rsid w:val="00487D5A"/>
    <w:rsid w:val="004A12C2"/>
    <w:rsid w:val="004B2272"/>
    <w:rsid w:val="004C0821"/>
    <w:rsid w:val="004F085D"/>
    <w:rsid w:val="004F0F2F"/>
    <w:rsid w:val="00505433"/>
    <w:rsid w:val="00530CB6"/>
    <w:rsid w:val="00531ACA"/>
    <w:rsid w:val="00541E6D"/>
    <w:rsid w:val="00542618"/>
    <w:rsid w:val="00554E15"/>
    <w:rsid w:val="00566B7B"/>
    <w:rsid w:val="00567958"/>
    <w:rsid w:val="00572406"/>
    <w:rsid w:val="00575886"/>
    <w:rsid w:val="00586803"/>
    <w:rsid w:val="00592992"/>
    <w:rsid w:val="005A467C"/>
    <w:rsid w:val="005E10E4"/>
    <w:rsid w:val="005E26E1"/>
    <w:rsid w:val="005E3D60"/>
    <w:rsid w:val="005E5868"/>
    <w:rsid w:val="005E738A"/>
    <w:rsid w:val="005F6901"/>
    <w:rsid w:val="006001CA"/>
    <w:rsid w:val="00603C65"/>
    <w:rsid w:val="00607890"/>
    <w:rsid w:val="00612697"/>
    <w:rsid w:val="00613C9A"/>
    <w:rsid w:val="00624DAF"/>
    <w:rsid w:val="006266DF"/>
    <w:rsid w:val="00630D7A"/>
    <w:rsid w:val="00637E5C"/>
    <w:rsid w:val="006436B1"/>
    <w:rsid w:val="00643D0B"/>
    <w:rsid w:val="006602E6"/>
    <w:rsid w:val="006659F5"/>
    <w:rsid w:val="00683307"/>
    <w:rsid w:val="00690547"/>
    <w:rsid w:val="00691302"/>
    <w:rsid w:val="00691A8B"/>
    <w:rsid w:val="00692ECF"/>
    <w:rsid w:val="0069702B"/>
    <w:rsid w:val="006A3597"/>
    <w:rsid w:val="006B25BB"/>
    <w:rsid w:val="006B2958"/>
    <w:rsid w:val="006E0BA4"/>
    <w:rsid w:val="006E465A"/>
    <w:rsid w:val="006F26F9"/>
    <w:rsid w:val="00707328"/>
    <w:rsid w:val="0070781C"/>
    <w:rsid w:val="00717AC1"/>
    <w:rsid w:val="00721F0B"/>
    <w:rsid w:val="00727874"/>
    <w:rsid w:val="00727DD8"/>
    <w:rsid w:val="007310D7"/>
    <w:rsid w:val="0074124A"/>
    <w:rsid w:val="007426FF"/>
    <w:rsid w:val="0078329B"/>
    <w:rsid w:val="00787ECC"/>
    <w:rsid w:val="007901B7"/>
    <w:rsid w:val="007910D0"/>
    <w:rsid w:val="0079438F"/>
    <w:rsid w:val="007A1AFC"/>
    <w:rsid w:val="007A2F0A"/>
    <w:rsid w:val="007C7C22"/>
    <w:rsid w:val="007D192D"/>
    <w:rsid w:val="007D566F"/>
    <w:rsid w:val="007E00A3"/>
    <w:rsid w:val="007F1050"/>
    <w:rsid w:val="007F42D1"/>
    <w:rsid w:val="007F7DB5"/>
    <w:rsid w:val="008078FC"/>
    <w:rsid w:val="00810FA5"/>
    <w:rsid w:val="00812FE8"/>
    <w:rsid w:val="00814BDF"/>
    <w:rsid w:val="00822D96"/>
    <w:rsid w:val="00826D9A"/>
    <w:rsid w:val="00827B6A"/>
    <w:rsid w:val="0083726F"/>
    <w:rsid w:val="00837BF5"/>
    <w:rsid w:val="0084040D"/>
    <w:rsid w:val="00846101"/>
    <w:rsid w:val="00846764"/>
    <w:rsid w:val="0085438E"/>
    <w:rsid w:val="008B40CE"/>
    <w:rsid w:val="008D0BED"/>
    <w:rsid w:val="008D19BF"/>
    <w:rsid w:val="008D29A3"/>
    <w:rsid w:val="008D4543"/>
    <w:rsid w:val="008D6358"/>
    <w:rsid w:val="008E3FEF"/>
    <w:rsid w:val="008F2292"/>
    <w:rsid w:val="008F2951"/>
    <w:rsid w:val="0090252F"/>
    <w:rsid w:val="00913DDE"/>
    <w:rsid w:val="00921F1F"/>
    <w:rsid w:val="009263AA"/>
    <w:rsid w:val="009379F2"/>
    <w:rsid w:val="00943D28"/>
    <w:rsid w:val="00945436"/>
    <w:rsid w:val="009479DB"/>
    <w:rsid w:val="009766F6"/>
    <w:rsid w:val="00992295"/>
    <w:rsid w:val="009A3301"/>
    <w:rsid w:val="009A3C39"/>
    <w:rsid w:val="009A7914"/>
    <w:rsid w:val="009B752F"/>
    <w:rsid w:val="009C5B40"/>
    <w:rsid w:val="009E7BAE"/>
    <w:rsid w:val="00A01ECD"/>
    <w:rsid w:val="00A1457B"/>
    <w:rsid w:val="00A22DB4"/>
    <w:rsid w:val="00A25889"/>
    <w:rsid w:val="00A27985"/>
    <w:rsid w:val="00A33425"/>
    <w:rsid w:val="00A36B26"/>
    <w:rsid w:val="00A42AAD"/>
    <w:rsid w:val="00A519EF"/>
    <w:rsid w:val="00A54BBB"/>
    <w:rsid w:val="00A718D6"/>
    <w:rsid w:val="00A913F3"/>
    <w:rsid w:val="00A94AC9"/>
    <w:rsid w:val="00A95DDA"/>
    <w:rsid w:val="00AA5526"/>
    <w:rsid w:val="00AB0E36"/>
    <w:rsid w:val="00AB57CE"/>
    <w:rsid w:val="00AD3B6F"/>
    <w:rsid w:val="00AD7351"/>
    <w:rsid w:val="00B036F2"/>
    <w:rsid w:val="00B12AF0"/>
    <w:rsid w:val="00B26FA8"/>
    <w:rsid w:val="00B30CA3"/>
    <w:rsid w:val="00B34365"/>
    <w:rsid w:val="00B36C0D"/>
    <w:rsid w:val="00B452AD"/>
    <w:rsid w:val="00B51FF3"/>
    <w:rsid w:val="00B6673C"/>
    <w:rsid w:val="00B90293"/>
    <w:rsid w:val="00B97EE0"/>
    <w:rsid w:val="00BA0D4A"/>
    <w:rsid w:val="00BB0029"/>
    <w:rsid w:val="00BB34B7"/>
    <w:rsid w:val="00BB6CC2"/>
    <w:rsid w:val="00BB7584"/>
    <w:rsid w:val="00BD3477"/>
    <w:rsid w:val="00BD49D0"/>
    <w:rsid w:val="00BE3A0D"/>
    <w:rsid w:val="00BE55AA"/>
    <w:rsid w:val="00C0524E"/>
    <w:rsid w:val="00C12A7C"/>
    <w:rsid w:val="00C264F6"/>
    <w:rsid w:val="00C31271"/>
    <w:rsid w:val="00C40B86"/>
    <w:rsid w:val="00C4415E"/>
    <w:rsid w:val="00C500B1"/>
    <w:rsid w:val="00C50603"/>
    <w:rsid w:val="00C56DC7"/>
    <w:rsid w:val="00C764A4"/>
    <w:rsid w:val="00C90F21"/>
    <w:rsid w:val="00C92438"/>
    <w:rsid w:val="00CA3344"/>
    <w:rsid w:val="00CB58AF"/>
    <w:rsid w:val="00CB6818"/>
    <w:rsid w:val="00CE2241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770E0"/>
    <w:rsid w:val="00D90A1D"/>
    <w:rsid w:val="00D91BDD"/>
    <w:rsid w:val="00D95D36"/>
    <w:rsid w:val="00D97BFD"/>
    <w:rsid w:val="00DA1AB8"/>
    <w:rsid w:val="00DB31CB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20B88"/>
    <w:rsid w:val="00E26DD0"/>
    <w:rsid w:val="00E2798A"/>
    <w:rsid w:val="00E41C41"/>
    <w:rsid w:val="00E4793E"/>
    <w:rsid w:val="00E54DE2"/>
    <w:rsid w:val="00E65882"/>
    <w:rsid w:val="00E67BCE"/>
    <w:rsid w:val="00E717ED"/>
    <w:rsid w:val="00E87FA8"/>
    <w:rsid w:val="00E94BFF"/>
    <w:rsid w:val="00E9634D"/>
    <w:rsid w:val="00EA5F73"/>
    <w:rsid w:val="00EB38A8"/>
    <w:rsid w:val="00EB478F"/>
    <w:rsid w:val="00EC1F24"/>
    <w:rsid w:val="00EC74BA"/>
    <w:rsid w:val="00ED00C3"/>
    <w:rsid w:val="00ED25AF"/>
    <w:rsid w:val="00EE301E"/>
    <w:rsid w:val="00EF5793"/>
    <w:rsid w:val="00EF7B71"/>
    <w:rsid w:val="00F01E24"/>
    <w:rsid w:val="00F027FD"/>
    <w:rsid w:val="00F07457"/>
    <w:rsid w:val="00F07C29"/>
    <w:rsid w:val="00F10451"/>
    <w:rsid w:val="00F1274F"/>
    <w:rsid w:val="00F17A69"/>
    <w:rsid w:val="00F3403A"/>
    <w:rsid w:val="00F4051C"/>
    <w:rsid w:val="00F41A06"/>
    <w:rsid w:val="00F41F5F"/>
    <w:rsid w:val="00F46596"/>
    <w:rsid w:val="00F51C24"/>
    <w:rsid w:val="00F65AD9"/>
    <w:rsid w:val="00F660E9"/>
    <w:rsid w:val="00F700CC"/>
    <w:rsid w:val="00F77A0A"/>
    <w:rsid w:val="00F8674F"/>
    <w:rsid w:val="00F87ACC"/>
    <w:rsid w:val="00F95B25"/>
    <w:rsid w:val="00F973A0"/>
    <w:rsid w:val="00FA0496"/>
    <w:rsid w:val="00FA34ED"/>
    <w:rsid w:val="00FA7DDD"/>
    <w:rsid w:val="00FC4253"/>
    <w:rsid w:val="00FD4417"/>
    <w:rsid w:val="00FD507E"/>
    <w:rsid w:val="00FE642D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F1274F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74F"/>
    <w:rPr>
      <w:color w:val="0000FF"/>
      <w:u w:val="single"/>
    </w:rPr>
  </w:style>
  <w:style w:type="character" w:styleId="FollowedHyperlink">
    <w:name w:val="FollowedHyperlink"/>
    <w:basedOn w:val="DefaultParagraphFont"/>
    <w:rsid w:val="00F1274F"/>
    <w:rPr>
      <w:color w:val="800080"/>
      <w:u w:val="single"/>
    </w:rPr>
  </w:style>
  <w:style w:type="paragraph" w:styleId="Header">
    <w:name w:val="header"/>
    <w:basedOn w:val="Normal"/>
    <w:rsid w:val="00F12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2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74F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AD7351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BodyText">
    <w:name w:val="Body Text"/>
    <w:basedOn w:val="Normal"/>
    <w:rsid w:val="00D770E0"/>
    <w:rPr>
      <w:rFonts w:ascii="Times New Roman" w:hAnsi="Times New Roman" w:cs="Times New Roman"/>
      <w:sz w:val="22"/>
      <w:szCs w:val="24"/>
    </w:rPr>
  </w:style>
  <w:style w:type="paragraph" w:styleId="FootnoteText">
    <w:name w:val="footnote text"/>
    <w:basedOn w:val="Normal"/>
    <w:semiHidden/>
    <w:rsid w:val="00E20B88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E20B8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26D9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31C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local\user\catyp\H241_S13\Packets\Materials\Galaxies\Velocity%20Shif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lineMarker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Sheet1!$A$5:$A$14</c:f>
              <c:numCache>
                <c:formatCode>General</c:formatCode>
                <c:ptCount val="10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40</c:v>
                </c:pt>
                <c:pt idx="5">
                  <c:v>60</c:v>
                </c:pt>
                <c:pt idx="6">
                  <c:v>80</c:v>
                </c:pt>
                <c:pt idx="7">
                  <c:v>100</c:v>
                </c:pt>
                <c:pt idx="8">
                  <c:v>200</c:v>
                </c:pt>
                <c:pt idx="9">
                  <c:v>500</c:v>
                </c:pt>
              </c:numCache>
            </c:numRef>
          </c:xVal>
          <c:yVal>
            <c:numRef>
              <c:f>Sheet1!$B$5:$B$14</c:f>
              <c:numCache>
                <c:formatCode>0.00</c:formatCode>
                <c:ptCount val="10"/>
                <c:pt idx="0">
                  <c:v>57.721518987341909</c:v>
                </c:pt>
                <c:pt idx="1">
                  <c:v>288.60759493670901</c:v>
                </c:pt>
                <c:pt idx="2">
                  <c:v>577.21518987341767</c:v>
                </c:pt>
                <c:pt idx="3">
                  <c:v>1154.4303797468353</c:v>
                </c:pt>
                <c:pt idx="4">
                  <c:v>2308.8607594936707</c:v>
                </c:pt>
                <c:pt idx="5">
                  <c:v>3463.2911392405167</c:v>
                </c:pt>
                <c:pt idx="6">
                  <c:v>4617.7215189873414</c:v>
                </c:pt>
                <c:pt idx="7">
                  <c:v>5772.1518987341824</c:v>
                </c:pt>
                <c:pt idx="8">
                  <c:v>11544.303797468347</c:v>
                </c:pt>
                <c:pt idx="9">
                  <c:v>28860.759493670885</c:v>
                </c:pt>
              </c:numCache>
            </c:numRef>
          </c:yVal>
        </c:ser>
        <c:axId val="125441152"/>
        <c:axId val="125443072"/>
      </c:scatterChart>
      <c:valAx>
        <c:axId val="125441152"/>
        <c:scaling>
          <c:orientation val="minMax"/>
          <c:max val="10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Shift of Ca Lines in Pixels</a:t>
                </a:r>
              </a:p>
            </c:rich>
          </c:tx>
        </c:title>
        <c:numFmt formatCode="General" sourceLinked="1"/>
        <c:majorTickMark val="cross"/>
        <c:minorTickMark val="in"/>
        <c:tickLblPos val="nextTo"/>
        <c:spPr>
          <a:ln>
            <a:solidFill>
              <a:prstClr val="black"/>
            </a:solidFill>
          </a:ln>
        </c:spPr>
        <c:crossAx val="125443072"/>
        <c:crosses val="autoZero"/>
        <c:crossBetween val="midCat"/>
        <c:majorUnit val="20"/>
        <c:minorUnit val="5"/>
      </c:valAx>
      <c:valAx>
        <c:axId val="125443072"/>
        <c:scaling>
          <c:orientation val="minMax"/>
          <c:max val="7000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Galaxy Velocity in Km/second</a:t>
                </a:r>
              </a:p>
            </c:rich>
          </c:tx>
        </c:title>
        <c:numFmt formatCode="0.00" sourceLinked="1"/>
        <c:majorTickMark val="cross"/>
        <c:minorTickMark val="in"/>
        <c:tickLblPos val="nextTo"/>
        <c:spPr>
          <a:ln>
            <a:solidFill>
              <a:prstClr val="black"/>
            </a:solidFill>
          </a:ln>
        </c:spPr>
        <c:crossAx val="125441152"/>
        <c:crosses val="autoZero"/>
        <c:crossBetween val="midCat"/>
        <c:majorUnit val="1000"/>
        <c:minorUnit val="500"/>
      </c:valAx>
      <c:spPr>
        <a:ln>
          <a:solidFill>
            <a:prstClr val="black"/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27BE-8F95-4152-82A4-9EFBA9A6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2449</CharactersWithSpaces>
  <SharedDoc>false</SharedDoc>
  <HLinks>
    <vt:vector size="12" baseType="variant">
      <vt:variant>
        <vt:i4>5701661</vt:i4>
      </vt:variant>
      <vt:variant>
        <vt:i4>18</vt:i4>
      </vt:variant>
      <vt:variant>
        <vt:i4>0</vt:i4>
      </vt:variant>
      <vt:variant>
        <vt:i4>5</vt:i4>
      </vt:variant>
      <vt:variant>
        <vt:lpwstr>http://www.astro.princeton.edu/~clark/SNLab.html</vt:lpwstr>
      </vt:variant>
      <vt:variant>
        <vt:lpwstr/>
      </vt:variant>
      <vt:variant>
        <vt:i4>5832771</vt:i4>
      </vt:variant>
      <vt:variant>
        <vt:i4>3</vt:i4>
      </vt:variant>
      <vt:variant>
        <vt:i4>0</vt:i4>
      </vt:variant>
      <vt:variant>
        <vt:i4>5</vt:i4>
      </vt:variant>
      <vt:variant>
        <vt:lpwstr>http://www.astro.washington.edu/courses/astro211/HubbleLaw/galaxies.html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2013-03-15T13:34:00Z</cp:lastPrinted>
  <dcterms:created xsi:type="dcterms:W3CDTF">2013-03-26T00:03:00Z</dcterms:created>
  <dcterms:modified xsi:type="dcterms:W3CDTF">2013-03-26T00:03:00Z</dcterms:modified>
</cp:coreProperties>
</file>