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B7" w:rsidRDefault="00AD7351" w:rsidP="007901B7">
      <w:pPr>
        <w:jc w:val="center"/>
        <w:rPr>
          <w:b/>
          <w:sz w:val="22"/>
          <w:szCs w:val="22"/>
        </w:rPr>
      </w:pPr>
      <w:r w:rsidRPr="00721F0B">
        <w:rPr>
          <w:b/>
          <w:sz w:val="22"/>
          <w:szCs w:val="22"/>
        </w:rPr>
        <w:t xml:space="preserve">The Distance to the Galaxy M100 using </w:t>
      </w:r>
      <w:r w:rsidR="00EC1F24" w:rsidRPr="00721F0B">
        <w:rPr>
          <w:b/>
          <w:sz w:val="22"/>
          <w:szCs w:val="22"/>
        </w:rPr>
        <w:t>Cepheid</w:t>
      </w:r>
      <w:r w:rsidRPr="00721F0B">
        <w:rPr>
          <w:b/>
          <w:sz w:val="22"/>
          <w:szCs w:val="22"/>
        </w:rPr>
        <w:t xml:space="preserve"> Variables</w:t>
      </w:r>
      <w:r w:rsidR="005E10E4">
        <w:rPr>
          <w:rStyle w:val="FootnoteReference"/>
          <w:b/>
          <w:sz w:val="24"/>
          <w:szCs w:val="22"/>
        </w:rPr>
        <w:footnoteReference w:id="1"/>
      </w:r>
    </w:p>
    <w:p w:rsidR="007901B7" w:rsidRDefault="007901B7" w:rsidP="005E10E4">
      <w:pPr>
        <w:rPr>
          <w:b/>
          <w:sz w:val="22"/>
          <w:szCs w:val="22"/>
        </w:rPr>
      </w:pPr>
    </w:p>
    <w:p w:rsidR="00AD7351" w:rsidRPr="005E10E4" w:rsidRDefault="00AD7351" w:rsidP="005E10E4">
      <w:pPr>
        <w:rPr>
          <w:b/>
          <w:sz w:val="22"/>
          <w:szCs w:val="22"/>
        </w:rPr>
      </w:pPr>
      <w:r w:rsidRPr="00721F0B">
        <w:rPr>
          <w:sz w:val="22"/>
        </w:rPr>
        <w:t xml:space="preserve">From repeated observations of the galaxy Messier 100 using the Hubble Space Telescope, astronomers were able to identify more than a dozen Cepheid variables, and measure their brightness as a function of time.  Cepheid variables are pulsating stars with regular periods of a few weeks.  Henrietta Leavitt, working at the Harvard College Observatory early in the 20th century, discovered that the period of a Cepheid variable </w:t>
      </w:r>
      <w:proofErr w:type="gramStart"/>
      <w:r w:rsidRPr="00721F0B">
        <w:rPr>
          <w:sz w:val="22"/>
        </w:rPr>
        <w:t>is related</w:t>
      </w:r>
      <w:proofErr w:type="gramEnd"/>
      <w:r w:rsidRPr="00721F0B">
        <w:rPr>
          <w:sz w:val="22"/>
        </w:rPr>
        <w:t xml:space="preserve"> to its brightness.  Brighter Cepheids pulsate with longer periods.  From the Hubble measurements of Cepheid variables in M100, the periods of the variables, and hence the absolute magnitudes of the variables, could be determined.  Once both the absolute magnitudes and the apparent magnitudes </w:t>
      </w:r>
      <w:proofErr w:type="gramStart"/>
      <w:r w:rsidRPr="00721F0B">
        <w:rPr>
          <w:sz w:val="22"/>
        </w:rPr>
        <w:t>are known</w:t>
      </w:r>
      <w:proofErr w:type="gramEnd"/>
      <w:r w:rsidRPr="00721F0B">
        <w:rPr>
          <w:sz w:val="22"/>
        </w:rPr>
        <w:t>, the distance to M100 can be calculated.</w:t>
      </w:r>
    </w:p>
    <w:p w:rsidR="00AD7351" w:rsidRPr="00721F0B" w:rsidRDefault="00AD7351" w:rsidP="001F770D">
      <w:pPr>
        <w:spacing w:before="100" w:beforeAutospacing="1" w:after="100" w:afterAutospacing="1"/>
        <w:rPr>
          <w:sz w:val="22"/>
        </w:rPr>
      </w:pPr>
      <w:r w:rsidRPr="00721F0B">
        <w:rPr>
          <w:sz w:val="22"/>
        </w:rPr>
        <w:t xml:space="preserve">The relation between a Cepheid's period and its absolute magnitude </w:t>
      </w:r>
      <w:proofErr w:type="gramStart"/>
      <w:r w:rsidRPr="00721F0B">
        <w:rPr>
          <w:sz w:val="22"/>
        </w:rPr>
        <w:t>is given</w:t>
      </w:r>
      <w:proofErr w:type="gramEnd"/>
      <w:r w:rsidRPr="00721F0B">
        <w:rPr>
          <w:sz w:val="22"/>
        </w:rPr>
        <w:t xml:space="preserve"> by the </w:t>
      </w:r>
      <w:r w:rsidR="00787ECC" w:rsidRPr="00721F0B">
        <w:rPr>
          <w:sz w:val="22"/>
        </w:rPr>
        <w:t>“Leavitt Law</w:t>
      </w:r>
      <w:r w:rsidRPr="00721F0B">
        <w:rPr>
          <w:sz w:val="22"/>
        </w:rPr>
        <w:t>:</w:t>
      </w:r>
      <w:r w:rsidR="00787ECC" w:rsidRPr="00721F0B">
        <w:rPr>
          <w:sz w:val="22"/>
        </w:rPr>
        <w:t>”</w:t>
      </w:r>
    </w:p>
    <w:p w:rsidR="00AD7351" w:rsidRPr="00721F0B" w:rsidRDefault="00AD7351" w:rsidP="00C31271">
      <w:pPr>
        <w:spacing w:before="100" w:beforeAutospacing="1" w:after="100" w:afterAutospacing="1"/>
        <w:jc w:val="center"/>
        <w:rPr>
          <w:sz w:val="22"/>
        </w:rPr>
      </w:pPr>
      <w:proofErr w:type="spellStart"/>
      <w:r w:rsidRPr="00721F0B">
        <w:rPr>
          <w:sz w:val="22"/>
        </w:rPr>
        <w:t>M</w:t>
      </w:r>
      <w:r w:rsidRPr="00721F0B">
        <w:rPr>
          <w:sz w:val="22"/>
          <w:vertAlign w:val="subscript"/>
        </w:rPr>
        <w:t>v</w:t>
      </w:r>
      <w:proofErr w:type="spellEnd"/>
      <w:r w:rsidRPr="00721F0B">
        <w:rPr>
          <w:sz w:val="22"/>
        </w:rPr>
        <w:t xml:space="preserve"> = -2.8 log(P) -1.4</w:t>
      </w:r>
      <w:r w:rsidR="00C31271">
        <w:rPr>
          <w:sz w:val="22"/>
        </w:rPr>
        <w:t>, wh</w:t>
      </w:r>
      <w:r w:rsidRPr="00721F0B">
        <w:rPr>
          <w:sz w:val="22"/>
        </w:rPr>
        <w:t xml:space="preserve">ere </w:t>
      </w:r>
      <w:proofErr w:type="spellStart"/>
      <w:r w:rsidRPr="00721F0B">
        <w:rPr>
          <w:sz w:val="22"/>
        </w:rPr>
        <w:t>M</w:t>
      </w:r>
      <w:r w:rsidRPr="00721F0B">
        <w:rPr>
          <w:sz w:val="22"/>
          <w:vertAlign w:val="subscript"/>
        </w:rPr>
        <w:t>v</w:t>
      </w:r>
      <w:proofErr w:type="spellEnd"/>
      <w:r w:rsidRPr="00721F0B">
        <w:rPr>
          <w:sz w:val="22"/>
        </w:rPr>
        <w:t xml:space="preserve"> is the absolute magnitude and P is he period in days.</w:t>
      </w:r>
    </w:p>
    <w:p w:rsidR="00AD7351" w:rsidRPr="00721F0B" w:rsidRDefault="00AD7351" w:rsidP="001F770D">
      <w:pPr>
        <w:spacing w:before="100" w:beforeAutospacing="1" w:after="100" w:afterAutospacing="1"/>
        <w:rPr>
          <w:sz w:val="22"/>
        </w:rPr>
      </w:pPr>
      <w:r w:rsidRPr="00721F0B">
        <w:rPr>
          <w:sz w:val="22"/>
        </w:rPr>
        <w:t xml:space="preserve">For convenience, this expression </w:t>
      </w:r>
      <w:proofErr w:type="gramStart"/>
      <w:r w:rsidRPr="00721F0B">
        <w:rPr>
          <w:sz w:val="22"/>
        </w:rPr>
        <w:t>is shown</w:t>
      </w:r>
      <w:proofErr w:type="gramEnd"/>
      <w:r w:rsidRPr="00721F0B">
        <w:rPr>
          <w:sz w:val="22"/>
        </w:rPr>
        <w:t xml:space="preserve"> in graphical form in the plot below.</w:t>
      </w:r>
    </w:p>
    <w:p w:rsidR="00AD7351" w:rsidRDefault="007A2F0A" w:rsidP="00D770E0">
      <w:pPr>
        <w:spacing w:before="100" w:beforeAutospacing="1" w:after="100" w:afterAutospacing="1"/>
        <w:jc w:val="center"/>
      </w:pPr>
      <w:r>
        <w:rPr>
          <w:noProof/>
        </w:rPr>
        <w:drawing>
          <wp:inline distT="0" distB="0" distL="0" distR="0">
            <wp:extent cx="5095875" cy="3514725"/>
            <wp:effectExtent l="19050" t="0" r="9525" b="0"/>
            <wp:docPr id="2" name="Picture 2" descr="PL_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_relation"/>
                    <pic:cNvPicPr>
                      <a:picLocks noChangeAspect="1" noChangeArrowheads="1"/>
                    </pic:cNvPicPr>
                  </pic:nvPicPr>
                  <pic:blipFill>
                    <a:blip r:embed="rId8" cstate="print"/>
                    <a:srcRect l="7909" t="11998" r="7897" b="13130"/>
                    <a:stretch>
                      <a:fillRect/>
                    </a:stretch>
                  </pic:blipFill>
                  <pic:spPr bwMode="auto">
                    <a:xfrm>
                      <a:off x="0" y="0"/>
                      <a:ext cx="5095875" cy="3514725"/>
                    </a:xfrm>
                    <a:prstGeom prst="rect">
                      <a:avLst/>
                    </a:prstGeom>
                    <a:noFill/>
                    <a:ln w="9525">
                      <a:noFill/>
                      <a:miter lim="800000"/>
                      <a:headEnd/>
                      <a:tailEnd/>
                    </a:ln>
                  </pic:spPr>
                </pic:pic>
              </a:graphicData>
            </a:graphic>
          </wp:inline>
        </w:drawing>
      </w:r>
    </w:p>
    <w:p w:rsidR="00AD7351" w:rsidRPr="00721F0B" w:rsidRDefault="00AD7351" w:rsidP="001F770D">
      <w:pPr>
        <w:spacing w:before="100" w:beforeAutospacing="1" w:after="100" w:afterAutospacing="1"/>
        <w:rPr>
          <w:b/>
          <w:sz w:val="22"/>
        </w:rPr>
      </w:pPr>
      <w:r w:rsidRPr="00721F0B">
        <w:rPr>
          <w:sz w:val="22"/>
        </w:rPr>
        <w:t xml:space="preserve">Use the light curves </w:t>
      </w:r>
      <w:r w:rsidR="005E10E4">
        <w:rPr>
          <w:sz w:val="22"/>
        </w:rPr>
        <w:t>on the next two pages</w:t>
      </w:r>
      <w:r w:rsidRPr="00721F0B">
        <w:rPr>
          <w:sz w:val="22"/>
        </w:rPr>
        <w:t xml:space="preserve"> to determine the periods of each of the Cepheids, as well as the average apparent magnitude of each one.  </w:t>
      </w:r>
      <w:r w:rsidR="005E10E4">
        <w:rPr>
          <w:sz w:val="22"/>
        </w:rPr>
        <w:t>Record these values in the table below.</w:t>
      </w:r>
    </w:p>
    <w:p w:rsidR="00AD7351" w:rsidRPr="00721F0B" w:rsidRDefault="00AD7351" w:rsidP="001F770D">
      <w:pPr>
        <w:numPr>
          <w:ilvl w:val="0"/>
          <w:numId w:val="4"/>
        </w:numPr>
        <w:spacing w:before="100" w:beforeAutospacing="1" w:after="100" w:afterAutospacing="1"/>
        <w:rPr>
          <w:sz w:val="22"/>
        </w:rPr>
      </w:pPr>
      <w:r w:rsidRPr="00721F0B">
        <w:rPr>
          <w:sz w:val="22"/>
        </w:rPr>
        <w:t>The period is the time between successive maxima of the Cepheid variable.</w:t>
      </w:r>
    </w:p>
    <w:p w:rsidR="005E10E4" w:rsidRDefault="005E10E4" w:rsidP="005E10E4">
      <w:pPr>
        <w:numPr>
          <w:ilvl w:val="0"/>
          <w:numId w:val="4"/>
        </w:numPr>
        <w:spacing w:before="100" w:beforeAutospacing="1" w:after="100" w:afterAutospacing="1"/>
        <w:rPr>
          <w:sz w:val="22"/>
        </w:rPr>
      </w:pPr>
      <w:r w:rsidRPr="00F07C29">
        <w:rPr>
          <w:sz w:val="22"/>
        </w:rPr>
        <w:lastRenderedPageBreak/>
        <w:t>The average apparent magnitude is half way between the maximum and minimum brightness in the light curve.</w:t>
      </w:r>
    </w:p>
    <w:p w:rsidR="00AD7351" w:rsidRPr="002735FD" w:rsidRDefault="007A2F0A" w:rsidP="001F770D">
      <w:pPr>
        <w:spacing w:before="100" w:beforeAutospacing="1" w:after="100" w:afterAutospacing="1"/>
        <w:rPr>
          <w:sz w:val="22"/>
        </w:rPr>
      </w:pPr>
      <w:r>
        <w:rPr>
          <w:noProof/>
          <w:sz w:val="22"/>
        </w:rPr>
        <w:drawing>
          <wp:inline distT="0" distB="0" distL="0" distR="0">
            <wp:extent cx="6305550" cy="3838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b="35209"/>
                    <a:stretch>
                      <a:fillRect/>
                    </a:stretch>
                  </pic:blipFill>
                  <pic:spPr bwMode="auto">
                    <a:xfrm>
                      <a:off x="0" y="0"/>
                      <a:ext cx="6305550" cy="3838575"/>
                    </a:xfrm>
                    <a:prstGeom prst="rect">
                      <a:avLst/>
                    </a:prstGeom>
                    <a:noFill/>
                    <a:ln w="9525">
                      <a:noFill/>
                      <a:miter lim="800000"/>
                      <a:headEnd/>
                      <a:tailEnd/>
                    </a:ln>
                  </pic:spPr>
                </pic:pic>
              </a:graphicData>
            </a:graphic>
          </wp:inline>
        </w:drawing>
      </w:r>
    </w:p>
    <w:p w:rsidR="00F07C29" w:rsidRDefault="007A2F0A" w:rsidP="001F770D">
      <w:pPr>
        <w:spacing w:before="100" w:beforeAutospacing="1" w:after="100" w:afterAutospacing="1"/>
        <w:rPr>
          <w:b/>
          <w:sz w:val="22"/>
        </w:rPr>
      </w:pPr>
      <w:r>
        <w:rPr>
          <w:b/>
          <w:noProof/>
          <w:sz w:val="22"/>
        </w:rPr>
        <w:drawing>
          <wp:inline distT="0" distB="0" distL="0" distR="0">
            <wp:extent cx="6305550" cy="1962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b="65667"/>
                    <a:stretch>
                      <a:fillRect/>
                    </a:stretch>
                  </pic:blipFill>
                  <pic:spPr bwMode="auto">
                    <a:xfrm>
                      <a:off x="0" y="0"/>
                      <a:ext cx="6305550" cy="1962150"/>
                    </a:xfrm>
                    <a:prstGeom prst="rect">
                      <a:avLst/>
                    </a:prstGeom>
                    <a:noFill/>
                    <a:ln w="9525">
                      <a:noFill/>
                      <a:miter lim="800000"/>
                      <a:headEnd/>
                      <a:tailEnd/>
                    </a:ln>
                  </pic:spPr>
                </pic:pic>
              </a:graphicData>
            </a:graphic>
          </wp:inline>
        </w:drawing>
      </w:r>
    </w:p>
    <w:p w:rsidR="00C264F6" w:rsidRDefault="00C264F6" w:rsidP="00F07C29">
      <w:pPr>
        <w:spacing w:before="100" w:beforeAutospacing="1" w:after="100" w:afterAutospacing="1"/>
        <w:rPr>
          <w:sz w:val="22"/>
        </w:rPr>
      </w:pPr>
      <w:r w:rsidRPr="00C264F6">
        <w:rPr>
          <w:noProof/>
          <w:sz w:val="22"/>
        </w:rPr>
        <w:lastRenderedPageBreak/>
        <w:drawing>
          <wp:inline distT="0" distB="0" distL="0" distR="0">
            <wp:extent cx="6305550" cy="17907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66667" b="1999"/>
                    <a:stretch>
                      <a:fillRect/>
                    </a:stretch>
                  </pic:blipFill>
                  <pic:spPr bwMode="auto">
                    <a:xfrm>
                      <a:off x="0" y="0"/>
                      <a:ext cx="6305550" cy="1790700"/>
                    </a:xfrm>
                    <a:prstGeom prst="rect">
                      <a:avLst/>
                    </a:prstGeom>
                    <a:noFill/>
                    <a:ln w="9525">
                      <a:noFill/>
                      <a:miter lim="800000"/>
                      <a:headEnd/>
                      <a:tailEnd/>
                    </a:ln>
                  </pic:spPr>
                </pic:pic>
              </a:graphicData>
            </a:graphic>
          </wp:inline>
        </w:drawing>
      </w:r>
    </w:p>
    <w:p w:rsidR="005E10E4" w:rsidRDefault="00C31271" w:rsidP="005E10E4">
      <w:pPr>
        <w:numPr>
          <w:ilvl w:val="0"/>
          <w:numId w:val="4"/>
        </w:numPr>
        <w:spacing w:before="100" w:beforeAutospacing="1" w:after="100" w:afterAutospacing="1"/>
        <w:rPr>
          <w:sz w:val="22"/>
        </w:rPr>
      </w:pPr>
      <w:r w:rsidRPr="005E10E4">
        <w:rPr>
          <w:sz w:val="22"/>
        </w:rPr>
        <w:t xml:space="preserve">Use the </w:t>
      </w:r>
      <w:r w:rsidR="005E10E4" w:rsidRPr="005E10E4">
        <w:rPr>
          <w:sz w:val="22"/>
        </w:rPr>
        <w:t>Leavitt Law relating period to absolute magnitude</w:t>
      </w:r>
      <w:r w:rsidRPr="005E10E4">
        <w:rPr>
          <w:sz w:val="22"/>
        </w:rPr>
        <w:t xml:space="preserve"> to determine the absolute magnitude of each Cepheid.  </w:t>
      </w:r>
      <w:r w:rsidR="00F07C29" w:rsidRPr="005E10E4">
        <w:rPr>
          <w:sz w:val="22"/>
        </w:rPr>
        <w:t xml:space="preserve">The measurements for Cepheid No. 1 </w:t>
      </w:r>
      <w:proofErr w:type="gramStart"/>
      <w:r w:rsidR="00F07C29" w:rsidRPr="005E10E4">
        <w:rPr>
          <w:sz w:val="22"/>
        </w:rPr>
        <w:t>have already been entered</w:t>
      </w:r>
      <w:proofErr w:type="gramEnd"/>
      <w:r w:rsidR="00F07C29" w:rsidRPr="005E10E4">
        <w:rPr>
          <w:sz w:val="22"/>
        </w:rPr>
        <w:t>.</w:t>
      </w:r>
      <w:r w:rsidR="005E10E4" w:rsidRPr="005E10E4">
        <w:rPr>
          <w:sz w:val="22"/>
        </w:rPr>
        <w:t xml:space="preserve"> </w:t>
      </w:r>
    </w:p>
    <w:tbl>
      <w:tblPr>
        <w:tblStyle w:val="TableGrid"/>
        <w:tblW w:w="0" w:type="auto"/>
        <w:jc w:val="center"/>
        <w:tblLayout w:type="fixed"/>
        <w:tblLook w:val="00BF"/>
      </w:tblPr>
      <w:tblGrid>
        <w:gridCol w:w="1098"/>
        <w:gridCol w:w="990"/>
        <w:gridCol w:w="1350"/>
        <w:gridCol w:w="1350"/>
        <w:gridCol w:w="1837"/>
        <w:gridCol w:w="1261"/>
      </w:tblGrid>
      <w:tr w:rsidR="00F07C29" w:rsidTr="00C264F6">
        <w:trPr>
          <w:jc w:val="center"/>
        </w:trPr>
        <w:tc>
          <w:tcPr>
            <w:tcW w:w="1098" w:type="dxa"/>
            <w:vAlign w:val="bottom"/>
          </w:tcPr>
          <w:p w:rsidR="00F07C29" w:rsidRPr="00CC5974" w:rsidRDefault="00F07C29" w:rsidP="00C264F6">
            <w:pPr>
              <w:spacing w:before="100" w:beforeAutospacing="1" w:after="100" w:afterAutospacing="1"/>
              <w:jc w:val="center"/>
              <w:rPr>
                <w:i/>
              </w:rPr>
            </w:pPr>
            <w:r>
              <w:rPr>
                <w:i/>
              </w:rPr>
              <w:br w:type="textWrapping" w:clear="all"/>
            </w:r>
            <w:r w:rsidRPr="00CC5974">
              <w:rPr>
                <w:i/>
              </w:rPr>
              <w:t>Cepheid Number</w:t>
            </w:r>
          </w:p>
        </w:tc>
        <w:tc>
          <w:tcPr>
            <w:tcW w:w="990" w:type="dxa"/>
            <w:vAlign w:val="bottom"/>
          </w:tcPr>
          <w:p w:rsidR="00F07C29" w:rsidRPr="00CC5974" w:rsidRDefault="00F07C29" w:rsidP="00C264F6">
            <w:pPr>
              <w:spacing w:before="100" w:beforeAutospacing="1" w:after="100" w:afterAutospacing="1"/>
              <w:jc w:val="center"/>
              <w:rPr>
                <w:i/>
              </w:rPr>
            </w:pPr>
            <w:r>
              <w:rPr>
                <w:i/>
              </w:rPr>
              <w:br w:type="textWrapping" w:clear="all"/>
            </w:r>
            <w:r w:rsidRPr="00CC5974">
              <w:rPr>
                <w:i/>
              </w:rPr>
              <w:t>Period (days)</w:t>
            </w:r>
          </w:p>
        </w:tc>
        <w:tc>
          <w:tcPr>
            <w:tcW w:w="1350" w:type="dxa"/>
            <w:vAlign w:val="bottom"/>
          </w:tcPr>
          <w:p w:rsidR="00F07C29" w:rsidRPr="00CC5974" w:rsidRDefault="00F07C29" w:rsidP="00C264F6">
            <w:pPr>
              <w:spacing w:before="100" w:beforeAutospacing="1" w:after="100" w:afterAutospacing="1"/>
              <w:jc w:val="center"/>
              <w:rPr>
                <w:i/>
              </w:rPr>
            </w:pPr>
            <w:r w:rsidRPr="00CC5974">
              <w:rPr>
                <w:i/>
              </w:rPr>
              <w:t>Absolute Magnitude (M)</w:t>
            </w:r>
          </w:p>
        </w:tc>
        <w:tc>
          <w:tcPr>
            <w:tcW w:w="1350" w:type="dxa"/>
            <w:vAlign w:val="bottom"/>
          </w:tcPr>
          <w:p w:rsidR="00F07C29" w:rsidRPr="00CC5974" w:rsidRDefault="00F07C29" w:rsidP="00C264F6">
            <w:pPr>
              <w:spacing w:before="100" w:beforeAutospacing="1" w:after="100" w:afterAutospacing="1"/>
              <w:jc w:val="center"/>
              <w:rPr>
                <w:i/>
              </w:rPr>
            </w:pPr>
            <w:r w:rsidRPr="00CC5974">
              <w:rPr>
                <w:i/>
              </w:rPr>
              <w:t>Average App. Mag.</w:t>
            </w:r>
            <w:r>
              <w:rPr>
                <w:i/>
              </w:rPr>
              <w:t xml:space="preserve"> (</w:t>
            </w:r>
            <w:proofErr w:type="spellStart"/>
            <w:r>
              <w:rPr>
                <w:i/>
              </w:rPr>
              <w:t>m</w:t>
            </w:r>
            <w:r>
              <w:rPr>
                <w:i/>
                <w:vertAlign w:val="subscript"/>
              </w:rPr>
              <w:t>ave</w:t>
            </w:r>
            <w:proofErr w:type="spellEnd"/>
            <w:r>
              <w:rPr>
                <w:i/>
              </w:rPr>
              <w:t>)</w:t>
            </w:r>
          </w:p>
        </w:tc>
        <w:tc>
          <w:tcPr>
            <w:tcW w:w="1837" w:type="dxa"/>
            <w:vAlign w:val="bottom"/>
          </w:tcPr>
          <w:p w:rsidR="00F07C29" w:rsidRPr="00CC5974" w:rsidRDefault="00F07C29" w:rsidP="00C264F6">
            <w:pPr>
              <w:spacing w:before="100" w:beforeAutospacing="1" w:after="100" w:afterAutospacing="1"/>
              <w:jc w:val="center"/>
              <w:rPr>
                <w:i/>
              </w:rPr>
            </w:pPr>
            <w:r w:rsidRPr="00CC5974">
              <w:rPr>
                <w:i/>
              </w:rPr>
              <w:t>Distance Modulus</w:t>
            </w:r>
            <w:r>
              <w:rPr>
                <w:i/>
              </w:rPr>
              <w:br w:type="textWrapping" w:clear="all"/>
            </w:r>
            <w:r w:rsidRPr="00CC5974">
              <w:rPr>
                <w:i/>
              </w:rPr>
              <w:t xml:space="preserve"> (</w:t>
            </w:r>
            <w:proofErr w:type="spellStart"/>
            <w:r w:rsidRPr="00CC5974">
              <w:rPr>
                <w:i/>
              </w:rPr>
              <w:t>m</w:t>
            </w:r>
            <w:r w:rsidRPr="00A94235">
              <w:rPr>
                <w:i/>
                <w:vertAlign w:val="subscript"/>
              </w:rPr>
              <w:t>ave</w:t>
            </w:r>
            <w:proofErr w:type="spellEnd"/>
            <w:r>
              <w:rPr>
                <w:i/>
              </w:rPr>
              <w:t>-M</w:t>
            </w:r>
            <w:r w:rsidRPr="00CC5974">
              <w:rPr>
                <w:i/>
              </w:rPr>
              <w:t>)</w:t>
            </w:r>
          </w:p>
        </w:tc>
        <w:tc>
          <w:tcPr>
            <w:tcW w:w="1261" w:type="dxa"/>
            <w:vAlign w:val="bottom"/>
          </w:tcPr>
          <w:p w:rsidR="00E54DE2" w:rsidRDefault="00F07C29" w:rsidP="00E54DE2">
            <w:pPr>
              <w:jc w:val="center"/>
              <w:rPr>
                <w:i/>
              </w:rPr>
            </w:pPr>
            <w:r>
              <w:rPr>
                <w:i/>
              </w:rPr>
              <w:br w:type="textWrapping" w:clear="all"/>
            </w:r>
            <w:r w:rsidR="00E54DE2">
              <w:rPr>
                <w:i/>
              </w:rPr>
              <w:t>Distance (Mpc)</w:t>
            </w:r>
          </w:p>
          <w:p w:rsidR="00E54DE2" w:rsidRPr="00CC5974" w:rsidRDefault="00E54DE2" w:rsidP="00E54DE2">
            <w:pPr>
              <w:jc w:val="center"/>
              <w:rPr>
                <w:i/>
              </w:rPr>
            </w:pPr>
            <w:r>
              <w:rPr>
                <w:i/>
              </w:rPr>
              <w:t>(see chart)</w:t>
            </w:r>
          </w:p>
        </w:tc>
      </w:tr>
      <w:tr w:rsidR="00F07C29" w:rsidTr="00C264F6">
        <w:trPr>
          <w:trHeight w:val="485"/>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1</w:t>
            </w:r>
          </w:p>
        </w:tc>
        <w:tc>
          <w:tcPr>
            <w:tcW w:w="990" w:type="dxa"/>
            <w:vAlign w:val="bottom"/>
          </w:tcPr>
          <w:p w:rsidR="00F07C29" w:rsidRPr="00CC5974" w:rsidRDefault="00F07C29" w:rsidP="00250A38">
            <w:pPr>
              <w:spacing w:before="100" w:beforeAutospacing="1" w:after="100" w:afterAutospacing="1"/>
              <w:jc w:val="center"/>
              <w:rPr>
                <w:i/>
              </w:rPr>
            </w:pPr>
            <w:r w:rsidRPr="00CC5974">
              <w:rPr>
                <w:i/>
              </w:rPr>
              <w:t>53.4</w:t>
            </w:r>
          </w:p>
        </w:tc>
        <w:tc>
          <w:tcPr>
            <w:tcW w:w="1350" w:type="dxa"/>
            <w:vAlign w:val="bottom"/>
          </w:tcPr>
          <w:p w:rsidR="00F07C29" w:rsidRPr="00CC5974" w:rsidRDefault="00F07C29" w:rsidP="00250A38">
            <w:pPr>
              <w:spacing w:before="100" w:beforeAutospacing="1" w:after="100" w:afterAutospacing="1"/>
              <w:jc w:val="center"/>
              <w:rPr>
                <w:i/>
              </w:rPr>
            </w:pPr>
            <w:r w:rsidRPr="00CC5974">
              <w:rPr>
                <w:i/>
              </w:rPr>
              <w:t>-6.2</w:t>
            </w:r>
          </w:p>
        </w:tc>
        <w:tc>
          <w:tcPr>
            <w:tcW w:w="1350" w:type="dxa"/>
            <w:vAlign w:val="bottom"/>
          </w:tcPr>
          <w:p w:rsidR="00F07C29" w:rsidRPr="00CC5974" w:rsidRDefault="00F07C29" w:rsidP="00250A38">
            <w:pPr>
              <w:spacing w:before="100" w:beforeAutospacing="1" w:after="100" w:afterAutospacing="1"/>
              <w:jc w:val="center"/>
              <w:rPr>
                <w:i/>
              </w:rPr>
            </w:pPr>
            <w:r w:rsidRPr="00CC5974">
              <w:rPr>
                <w:i/>
              </w:rPr>
              <w:t>24.9</w:t>
            </w:r>
          </w:p>
        </w:tc>
        <w:tc>
          <w:tcPr>
            <w:tcW w:w="1837" w:type="dxa"/>
            <w:vAlign w:val="bottom"/>
          </w:tcPr>
          <w:p w:rsidR="00F07C29" w:rsidRPr="00CC5974" w:rsidRDefault="00F07C29" w:rsidP="00250A38">
            <w:pPr>
              <w:spacing w:before="100" w:beforeAutospacing="1" w:after="100" w:afterAutospacing="1"/>
              <w:jc w:val="center"/>
              <w:rPr>
                <w:i/>
              </w:rPr>
            </w:pPr>
            <w:r w:rsidRPr="00CC5974">
              <w:rPr>
                <w:i/>
              </w:rPr>
              <w:t>24.9-(-6.2)=31.1</w:t>
            </w:r>
          </w:p>
        </w:tc>
        <w:tc>
          <w:tcPr>
            <w:tcW w:w="1261" w:type="dxa"/>
            <w:vAlign w:val="bottom"/>
          </w:tcPr>
          <w:p w:rsidR="00F07C29" w:rsidRPr="00CC5974" w:rsidRDefault="00F07C29" w:rsidP="00250A38">
            <w:pPr>
              <w:spacing w:before="100" w:beforeAutospacing="1" w:after="100" w:afterAutospacing="1"/>
              <w:jc w:val="center"/>
              <w:rPr>
                <w:i/>
              </w:rPr>
            </w:pPr>
            <w:r>
              <w:rPr>
                <w:i/>
              </w:rPr>
              <w:t>16.6</w:t>
            </w:r>
          </w:p>
        </w:tc>
      </w:tr>
      <w:tr w:rsidR="00F07C29" w:rsidTr="00C264F6">
        <w:trPr>
          <w:trHeight w:val="539"/>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2</w:t>
            </w:r>
          </w:p>
        </w:tc>
        <w:tc>
          <w:tcPr>
            <w:tcW w:w="99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837" w:type="dxa"/>
            <w:vAlign w:val="bottom"/>
          </w:tcPr>
          <w:p w:rsidR="00F07C29" w:rsidRPr="00CC5974" w:rsidRDefault="00F07C29" w:rsidP="00250A38">
            <w:pPr>
              <w:spacing w:before="100" w:beforeAutospacing="1" w:after="100" w:afterAutospacing="1"/>
              <w:jc w:val="center"/>
              <w:rPr>
                <w:i/>
              </w:rPr>
            </w:pPr>
          </w:p>
        </w:tc>
        <w:tc>
          <w:tcPr>
            <w:tcW w:w="1261" w:type="dxa"/>
            <w:vAlign w:val="bottom"/>
          </w:tcPr>
          <w:p w:rsidR="00F07C29" w:rsidRPr="00CC5974" w:rsidRDefault="00F07C29" w:rsidP="00250A38">
            <w:pPr>
              <w:spacing w:before="100" w:beforeAutospacing="1" w:after="100" w:afterAutospacing="1"/>
              <w:jc w:val="center"/>
              <w:rPr>
                <w:i/>
              </w:rPr>
            </w:pPr>
          </w:p>
        </w:tc>
      </w:tr>
      <w:tr w:rsidR="00F07C29" w:rsidTr="00C264F6">
        <w:trPr>
          <w:trHeight w:val="521"/>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3</w:t>
            </w:r>
          </w:p>
        </w:tc>
        <w:tc>
          <w:tcPr>
            <w:tcW w:w="99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837" w:type="dxa"/>
            <w:vAlign w:val="bottom"/>
          </w:tcPr>
          <w:p w:rsidR="00F07C29" w:rsidRPr="00CC5974" w:rsidRDefault="00F07C29" w:rsidP="00250A38">
            <w:pPr>
              <w:spacing w:before="100" w:beforeAutospacing="1" w:after="100" w:afterAutospacing="1"/>
              <w:jc w:val="center"/>
              <w:rPr>
                <w:i/>
              </w:rPr>
            </w:pPr>
          </w:p>
        </w:tc>
        <w:tc>
          <w:tcPr>
            <w:tcW w:w="1261" w:type="dxa"/>
            <w:vAlign w:val="bottom"/>
          </w:tcPr>
          <w:p w:rsidR="00F07C29" w:rsidRPr="00CC5974" w:rsidRDefault="00F07C29" w:rsidP="00250A38">
            <w:pPr>
              <w:spacing w:before="100" w:beforeAutospacing="1" w:after="100" w:afterAutospacing="1"/>
              <w:jc w:val="center"/>
              <w:rPr>
                <w:i/>
              </w:rPr>
            </w:pPr>
          </w:p>
        </w:tc>
      </w:tr>
      <w:tr w:rsidR="00F07C29" w:rsidTr="00C264F6">
        <w:trPr>
          <w:trHeight w:val="530"/>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4</w:t>
            </w:r>
          </w:p>
        </w:tc>
        <w:tc>
          <w:tcPr>
            <w:tcW w:w="99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837" w:type="dxa"/>
            <w:vAlign w:val="bottom"/>
          </w:tcPr>
          <w:p w:rsidR="00F07C29" w:rsidRPr="00CC5974" w:rsidRDefault="00F07C29" w:rsidP="00250A38">
            <w:pPr>
              <w:spacing w:before="100" w:beforeAutospacing="1" w:after="100" w:afterAutospacing="1"/>
              <w:jc w:val="center"/>
              <w:rPr>
                <w:i/>
              </w:rPr>
            </w:pPr>
          </w:p>
        </w:tc>
        <w:tc>
          <w:tcPr>
            <w:tcW w:w="1261" w:type="dxa"/>
            <w:vAlign w:val="bottom"/>
          </w:tcPr>
          <w:p w:rsidR="00F07C29" w:rsidRPr="00CC5974" w:rsidRDefault="00F07C29" w:rsidP="00250A38">
            <w:pPr>
              <w:spacing w:before="100" w:beforeAutospacing="1" w:after="100" w:afterAutospacing="1"/>
              <w:jc w:val="center"/>
              <w:rPr>
                <w:i/>
              </w:rPr>
            </w:pPr>
          </w:p>
        </w:tc>
      </w:tr>
      <w:tr w:rsidR="00F07C29" w:rsidTr="00C264F6">
        <w:trPr>
          <w:trHeight w:val="530"/>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7</w:t>
            </w:r>
          </w:p>
        </w:tc>
        <w:tc>
          <w:tcPr>
            <w:tcW w:w="99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837" w:type="dxa"/>
            <w:vAlign w:val="bottom"/>
          </w:tcPr>
          <w:p w:rsidR="00F07C29" w:rsidRPr="00CC5974" w:rsidRDefault="00F07C29" w:rsidP="00250A38">
            <w:pPr>
              <w:spacing w:before="100" w:beforeAutospacing="1" w:after="100" w:afterAutospacing="1"/>
              <w:jc w:val="center"/>
              <w:rPr>
                <w:i/>
              </w:rPr>
            </w:pPr>
          </w:p>
        </w:tc>
        <w:tc>
          <w:tcPr>
            <w:tcW w:w="1261" w:type="dxa"/>
            <w:vAlign w:val="bottom"/>
          </w:tcPr>
          <w:p w:rsidR="00F07C29" w:rsidRPr="00CC5974" w:rsidRDefault="00F07C29" w:rsidP="00250A38">
            <w:pPr>
              <w:spacing w:before="100" w:beforeAutospacing="1" w:after="100" w:afterAutospacing="1"/>
              <w:jc w:val="center"/>
              <w:rPr>
                <w:i/>
              </w:rPr>
            </w:pPr>
          </w:p>
        </w:tc>
      </w:tr>
      <w:tr w:rsidR="00F07C29" w:rsidTr="00C264F6">
        <w:trPr>
          <w:trHeight w:val="530"/>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8</w:t>
            </w:r>
          </w:p>
        </w:tc>
        <w:tc>
          <w:tcPr>
            <w:tcW w:w="99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837" w:type="dxa"/>
            <w:vAlign w:val="bottom"/>
          </w:tcPr>
          <w:p w:rsidR="00F07C29" w:rsidRPr="00CC5974" w:rsidRDefault="00F07C29" w:rsidP="00250A38">
            <w:pPr>
              <w:spacing w:before="100" w:beforeAutospacing="1" w:after="100" w:afterAutospacing="1"/>
              <w:jc w:val="center"/>
              <w:rPr>
                <w:i/>
              </w:rPr>
            </w:pPr>
          </w:p>
        </w:tc>
        <w:tc>
          <w:tcPr>
            <w:tcW w:w="1261" w:type="dxa"/>
            <w:vAlign w:val="bottom"/>
          </w:tcPr>
          <w:p w:rsidR="00F07C29" w:rsidRPr="00CC5974" w:rsidRDefault="00F07C29" w:rsidP="00250A38">
            <w:pPr>
              <w:spacing w:before="100" w:beforeAutospacing="1" w:after="100" w:afterAutospacing="1"/>
              <w:jc w:val="center"/>
              <w:rPr>
                <w:i/>
              </w:rPr>
            </w:pPr>
          </w:p>
        </w:tc>
      </w:tr>
      <w:tr w:rsidR="00F07C29" w:rsidTr="00C264F6">
        <w:trPr>
          <w:trHeight w:val="530"/>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11</w:t>
            </w:r>
          </w:p>
        </w:tc>
        <w:tc>
          <w:tcPr>
            <w:tcW w:w="99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837" w:type="dxa"/>
            <w:vAlign w:val="bottom"/>
          </w:tcPr>
          <w:p w:rsidR="00F07C29" w:rsidRPr="00CC5974" w:rsidRDefault="00F07C29" w:rsidP="00250A38">
            <w:pPr>
              <w:spacing w:before="100" w:beforeAutospacing="1" w:after="100" w:afterAutospacing="1"/>
              <w:jc w:val="center"/>
              <w:rPr>
                <w:i/>
              </w:rPr>
            </w:pPr>
          </w:p>
        </w:tc>
        <w:tc>
          <w:tcPr>
            <w:tcW w:w="1261" w:type="dxa"/>
            <w:vAlign w:val="bottom"/>
          </w:tcPr>
          <w:p w:rsidR="00F07C29" w:rsidRPr="00CC5974" w:rsidRDefault="00F07C29" w:rsidP="00250A38">
            <w:pPr>
              <w:spacing w:before="100" w:beforeAutospacing="1" w:after="100" w:afterAutospacing="1"/>
              <w:jc w:val="center"/>
              <w:rPr>
                <w:i/>
              </w:rPr>
            </w:pPr>
          </w:p>
        </w:tc>
      </w:tr>
      <w:tr w:rsidR="00F07C29" w:rsidTr="00C264F6">
        <w:trPr>
          <w:trHeight w:val="521"/>
          <w:jc w:val="center"/>
        </w:trPr>
        <w:tc>
          <w:tcPr>
            <w:tcW w:w="1098" w:type="dxa"/>
            <w:vAlign w:val="bottom"/>
          </w:tcPr>
          <w:p w:rsidR="00F07C29" w:rsidRPr="00CC5974" w:rsidRDefault="00F07C29" w:rsidP="00250A38">
            <w:pPr>
              <w:spacing w:before="100" w:beforeAutospacing="1" w:after="100" w:afterAutospacing="1"/>
              <w:jc w:val="center"/>
              <w:rPr>
                <w:i/>
              </w:rPr>
            </w:pPr>
            <w:r w:rsidRPr="00CC5974">
              <w:rPr>
                <w:i/>
              </w:rPr>
              <w:t>12</w:t>
            </w:r>
          </w:p>
        </w:tc>
        <w:tc>
          <w:tcPr>
            <w:tcW w:w="99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350" w:type="dxa"/>
            <w:vAlign w:val="bottom"/>
          </w:tcPr>
          <w:p w:rsidR="00F07C29" w:rsidRPr="00CC5974" w:rsidRDefault="00F07C29" w:rsidP="00250A38">
            <w:pPr>
              <w:spacing w:before="100" w:beforeAutospacing="1" w:after="100" w:afterAutospacing="1"/>
              <w:jc w:val="center"/>
              <w:rPr>
                <w:i/>
              </w:rPr>
            </w:pPr>
          </w:p>
        </w:tc>
        <w:tc>
          <w:tcPr>
            <w:tcW w:w="1837" w:type="dxa"/>
            <w:vAlign w:val="bottom"/>
          </w:tcPr>
          <w:p w:rsidR="00F07C29" w:rsidRPr="00CC5974" w:rsidRDefault="00F07C29" w:rsidP="00250A38">
            <w:pPr>
              <w:spacing w:before="100" w:beforeAutospacing="1" w:after="100" w:afterAutospacing="1"/>
              <w:jc w:val="center"/>
              <w:rPr>
                <w:i/>
              </w:rPr>
            </w:pPr>
          </w:p>
        </w:tc>
        <w:tc>
          <w:tcPr>
            <w:tcW w:w="1261" w:type="dxa"/>
            <w:tcBorders>
              <w:bottom w:val="single" w:sz="4" w:space="0" w:color="auto"/>
            </w:tcBorders>
            <w:vAlign w:val="bottom"/>
          </w:tcPr>
          <w:p w:rsidR="00F07C29" w:rsidRPr="00CC5974" w:rsidRDefault="00F07C29" w:rsidP="00250A38">
            <w:pPr>
              <w:spacing w:before="100" w:beforeAutospacing="1" w:after="100" w:afterAutospacing="1"/>
              <w:jc w:val="center"/>
              <w:rPr>
                <w:i/>
              </w:rPr>
            </w:pPr>
          </w:p>
        </w:tc>
      </w:tr>
      <w:tr w:rsidR="00F07C29" w:rsidTr="00C264F6">
        <w:trPr>
          <w:trHeight w:val="539"/>
          <w:jc w:val="center"/>
        </w:trPr>
        <w:tc>
          <w:tcPr>
            <w:tcW w:w="6625" w:type="dxa"/>
            <w:gridSpan w:val="5"/>
            <w:vAlign w:val="center"/>
          </w:tcPr>
          <w:p w:rsidR="00F07C29" w:rsidRPr="00CC5974" w:rsidRDefault="00F07C29" w:rsidP="00250A38">
            <w:pPr>
              <w:spacing w:before="100" w:beforeAutospacing="1" w:after="100" w:afterAutospacing="1"/>
              <w:jc w:val="center"/>
              <w:rPr>
                <w:i/>
              </w:rPr>
            </w:pPr>
            <w:r>
              <w:rPr>
                <w:b/>
                <w:i/>
              </w:rPr>
              <w:t>Distance</w:t>
            </w:r>
            <w:r w:rsidRPr="006E4867">
              <w:rPr>
                <w:b/>
                <w:i/>
              </w:rPr>
              <w:t xml:space="preserve"> to M100</w:t>
            </w:r>
            <w:r>
              <w:rPr>
                <w:b/>
                <w:i/>
              </w:rPr>
              <w:t xml:space="preserve"> in </w:t>
            </w:r>
            <w:proofErr w:type="spellStart"/>
            <w:r>
              <w:rPr>
                <w:b/>
                <w:i/>
              </w:rPr>
              <w:t>Megaparsecs</w:t>
            </w:r>
            <w:proofErr w:type="spellEnd"/>
            <w:r>
              <w:rPr>
                <w:b/>
                <w:i/>
              </w:rPr>
              <w:t>:</w:t>
            </w:r>
          </w:p>
        </w:tc>
        <w:tc>
          <w:tcPr>
            <w:tcW w:w="1261" w:type="dxa"/>
            <w:vAlign w:val="bottom"/>
          </w:tcPr>
          <w:p w:rsidR="00F07C29" w:rsidRPr="00CC5974" w:rsidRDefault="00F07C29" w:rsidP="00250A38">
            <w:pPr>
              <w:spacing w:before="100" w:beforeAutospacing="1" w:after="100" w:afterAutospacing="1"/>
              <w:jc w:val="center"/>
              <w:rPr>
                <w:i/>
              </w:rPr>
            </w:pPr>
          </w:p>
        </w:tc>
      </w:tr>
    </w:tbl>
    <w:p w:rsidR="005E10E4" w:rsidRPr="005E10E4" w:rsidRDefault="005E10E4" w:rsidP="005E10E4">
      <w:pPr>
        <w:numPr>
          <w:ilvl w:val="0"/>
          <w:numId w:val="4"/>
        </w:numPr>
        <w:spacing w:before="100" w:beforeAutospacing="1" w:after="100" w:afterAutospacing="1"/>
        <w:rPr>
          <w:sz w:val="22"/>
        </w:rPr>
      </w:pPr>
      <w:r>
        <w:rPr>
          <w:sz w:val="22"/>
        </w:rPr>
        <w:t>Compute t</w:t>
      </w:r>
      <w:r w:rsidRPr="005E10E4">
        <w:rPr>
          <w:sz w:val="22"/>
        </w:rPr>
        <w:t xml:space="preserve">he distance modulus </w:t>
      </w:r>
      <w:r>
        <w:rPr>
          <w:sz w:val="22"/>
        </w:rPr>
        <w:t>(</w:t>
      </w:r>
      <w:r w:rsidRPr="005E10E4">
        <w:rPr>
          <w:sz w:val="22"/>
        </w:rPr>
        <w:t xml:space="preserve">the difference </w:t>
      </w:r>
      <w:r w:rsidRPr="005E10E4">
        <w:rPr>
          <w:i/>
          <w:sz w:val="22"/>
        </w:rPr>
        <w:t>apparent magnitude – absolute magnitude</w:t>
      </w:r>
      <w:r>
        <w:rPr>
          <w:i/>
          <w:sz w:val="22"/>
        </w:rPr>
        <w:t>)</w:t>
      </w:r>
      <w:r w:rsidRPr="005E10E4">
        <w:rPr>
          <w:sz w:val="22"/>
        </w:rPr>
        <w:t>.</w:t>
      </w:r>
    </w:p>
    <w:p w:rsidR="005E10E4" w:rsidRDefault="003026C4" w:rsidP="005E10E4">
      <w:pPr>
        <w:numPr>
          <w:ilvl w:val="0"/>
          <w:numId w:val="4"/>
        </w:numPr>
        <w:spacing w:before="100" w:beforeAutospacing="1" w:after="100" w:afterAutospacing="1"/>
        <w:rPr>
          <w:sz w:val="22"/>
        </w:rPr>
      </w:pPr>
      <w:r>
        <w:rPr>
          <w:sz w:val="22"/>
        </w:rPr>
        <w:t>C</w:t>
      </w:r>
      <w:r w:rsidR="005E10E4">
        <w:rPr>
          <w:sz w:val="22"/>
        </w:rPr>
        <w:t xml:space="preserve">onvert the distance modulus to the distance in </w:t>
      </w:r>
      <w:proofErr w:type="spellStart"/>
      <w:r w:rsidR="005E10E4">
        <w:rPr>
          <w:sz w:val="22"/>
        </w:rPr>
        <w:t>megaparsecs</w:t>
      </w:r>
      <w:proofErr w:type="spellEnd"/>
      <w:r>
        <w:rPr>
          <w:sz w:val="22"/>
        </w:rPr>
        <w:t xml:space="preserve"> using either the formula below or the chart on the next page</w:t>
      </w:r>
      <w:r w:rsidR="005E10E4">
        <w:rPr>
          <w:sz w:val="22"/>
        </w:rPr>
        <w:t>.</w:t>
      </w:r>
    </w:p>
    <w:p w:rsidR="003026C4" w:rsidRDefault="003026C4" w:rsidP="005E10E4">
      <w:pPr>
        <w:numPr>
          <w:ilvl w:val="0"/>
          <w:numId w:val="4"/>
        </w:numPr>
        <w:spacing w:before="100" w:beforeAutospacing="1" w:after="100" w:afterAutospacing="1"/>
        <w:rPr>
          <w:sz w:val="22"/>
        </w:rPr>
      </w:pPr>
      <w:r>
        <w:rPr>
          <w:sz w:val="22"/>
        </w:rPr>
        <w:t xml:space="preserve">From these data, estimate the distance in </w:t>
      </w:r>
      <w:proofErr w:type="spellStart"/>
      <w:r>
        <w:rPr>
          <w:sz w:val="22"/>
        </w:rPr>
        <w:t>megaparsecs</w:t>
      </w:r>
      <w:proofErr w:type="spellEnd"/>
      <w:r>
        <w:rPr>
          <w:sz w:val="22"/>
        </w:rPr>
        <w:t xml:space="preserve"> to the galaxy M100.</w:t>
      </w:r>
    </w:p>
    <w:p w:rsidR="003026C4" w:rsidRDefault="003026C4" w:rsidP="00F07C29">
      <w:pPr>
        <w:spacing w:before="100" w:beforeAutospacing="1" w:after="100" w:afterAutospacing="1"/>
        <w:rPr>
          <w:sz w:val="22"/>
        </w:rPr>
      </w:pPr>
    </w:p>
    <w:p w:rsidR="00F07C29" w:rsidRPr="00721F0B" w:rsidRDefault="005E10E4" w:rsidP="00F07C29">
      <w:pPr>
        <w:spacing w:before="100" w:beforeAutospacing="1" w:after="100" w:afterAutospacing="1"/>
        <w:rPr>
          <w:sz w:val="22"/>
        </w:rPr>
      </w:pPr>
      <w:r>
        <w:rPr>
          <w:sz w:val="22"/>
        </w:rPr>
        <w:t xml:space="preserve">The </w:t>
      </w:r>
      <w:r w:rsidR="00C31271" w:rsidRPr="00C31271">
        <w:rPr>
          <w:b/>
          <w:sz w:val="22"/>
        </w:rPr>
        <w:t>distance modulus</w:t>
      </w:r>
      <w:r>
        <w:rPr>
          <w:sz w:val="22"/>
        </w:rPr>
        <w:t xml:space="preserve"> </w:t>
      </w:r>
      <w:proofErr w:type="gramStart"/>
      <w:r w:rsidR="00C31271">
        <w:rPr>
          <w:sz w:val="22"/>
        </w:rPr>
        <w:t>is related</w:t>
      </w:r>
      <w:proofErr w:type="gramEnd"/>
      <w:r w:rsidR="00C31271">
        <w:rPr>
          <w:sz w:val="22"/>
        </w:rPr>
        <w:t xml:space="preserve"> to </w:t>
      </w:r>
      <w:r>
        <w:rPr>
          <w:sz w:val="22"/>
        </w:rPr>
        <w:t xml:space="preserve">the </w:t>
      </w:r>
      <w:r w:rsidR="00530CB6">
        <w:rPr>
          <w:sz w:val="22"/>
        </w:rPr>
        <w:t>distance (recall that</w:t>
      </w:r>
      <w:r w:rsidR="00F07C29" w:rsidRPr="00721F0B">
        <w:rPr>
          <w:sz w:val="22"/>
        </w:rPr>
        <w:t xml:space="preserve"> the "absolute magnitude" of a star is the apparent magnitude that star would have if it were at a distance of 10 parsecs </w:t>
      </w:r>
      <w:r w:rsidR="00530CB6">
        <w:rPr>
          <w:sz w:val="22"/>
        </w:rPr>
        <w:t>or</w:t>
      </w:r>
      <w:r w:rsidR="00F07C29" w:rsidRPr="00721F0B">
        <w:rPr>
          <w:sz w:val="22"/>
        </w:rPr>
        <w:t xml:space="preserve"> 3.26 light years).  The relation </w:t>
      </w:r>
      <w:proofErr w:type="gramStart"/>
      <w:r w:rsidR="00F07C29" w:rsidRPr="00721F0B">
        <w:rPr>
          <w:sz w:val="22"/>
        </w:rPr>
        <w:t>can be written mathematically as</w:t>
      </w:r>
      <w:proofErr w:type="gramEnd"/>
      <w:r w:rsidR="00F07C29" w:rsidRPr="00721F0B">
        <w:rPr>
          <w:sz w:val="22"/>
        </w:rPr>
        <w:t>:</w:t>
      </w:r>
    </w:p>
    <w:p w:rsidR="00F07C29" w:rsidRPr="00721F0B" w:rsidRDefault="00F07C29" w:rsidP="00F07C29">
      <w:pPr>
        <w:spacing w:before="100" w:beforeAutospacing="1" w:after="100" w:afterAutospacing="1"/>
        <w:jc w:val="center"/>
        <w:rPr>
          <w:sz w:val="22"/>
        </w:rPr>
      </w:pPr>
      <w:r w:rsidRPr="00721F0B">
        <w:rPr>
          <w:sz w:val="22"/>
        </w:rPr>
        <w:lastRenderedPageBreak/>
        <w:t xml:space="preserve">Distance </w:t>
      </w:r>
      <w:r w:rsidR="00530CB6">
        <w:rPr>
          <w:sz w:val="22"/>
        </w:rPr>
        <w:t>(</w:t>
      </w:r>
      <w:r w:rsidRPr="00721F0B">
        <w:rPr>
          <w:sz w:val="22"/>
        </w:rPr>
        <w:t>in parsecs</w:t>
      </w:r>
      <w:r w:rsidR="00530CB6">
        <w:rPr>
          <w:sz w:val="22"/>
        </w:rPr>
        <w:t>)</w:t>
      </w:r>
      <w:r w:rsidRPr="00721F0B">
        <w:rPr>
          <w:sz w:val="22"/>
        </w:rPr>
        <w:t xml:space="preserve"> = 10</w:t>
      </w:r>
      <w:r w:rsidRPr="00721F0B">
        <w:rPr>
          <w:sz w:val="22"/>
          <w:vertAlign w:val="superscript"/>
        </w:rPr>
        <w:t>(</w:t>
      </w:r>
      <w:proofErr w:type="spellStart"/>
      <w:r w:rsidRPr="00721F0B">
        <w:rPr>
          <w:sz w:val="22"/>
          <w:vertAlign w:val="superscript"/>
        </w:rPr>
        <w:t>mave</w:t>
      </w:r>
      <w:proofErr w:type="spellEnd"/>
      <w:r w:rsidRPr="00721F0B">
        <w:rPr>
          <w:sz w:val="22"/>
          <w:vertAlign w:val="superscript"/>
        </w:rPr>
        <w:t xml:space="preserve"> -M+5)/5</w:t>
      </w:r>
      <w:r w:rsidR="00E54DE2">
        <w:rPr>
          <w:sz w:val="22"/>
          <w:vertAlign w:val="superscript"/>
        </w:rPr>
        <w:t>)</w:t>
      </w:r>
    </w:p>
    <w:p w:rsidR="00F07C29" w:rsidRDefault="00F07C29" w:rsidP="00F07C29">
      <w:pPr>
        <w:spacing w:before="100" w:beforeAutospacing="1" w:after="100" w:afterAutospacing="1"/>
        <w:rPr>
          <w:sz w:val="22"/>
        </w:rPr>
      </w:pPr>
      <w:proofErr w:type="gramStart"/>
      <w:r w:rsidRPr="00721F0B">
        <w:rPr>
          <w:sz w:val="22"/>
        </w:rPr>
        <w:t>where</w:t>
      </w:r>
      <w:proofErr w:type="gramEnd"/>
      <w:r w:rsidRPr="00721F0B">
        <w:rPr>
          <w:sz w:val="22"/>
        </w:rPr>
        <w:t xml:space="preserve"> </w:t>
      </w:r>
      <w:proofErr w:type="spellStart"/>
      <w:r w:rsidRPr="00721F0B">
        <w:rPr>
          <w:sz w:val="22"/>
        </w:rPr>
        <w:t>m</w:t>
      </w:r>
      <w:r w:rsidRPr="00721F0B">
        <w:rPr>
          <w:sz w:val="22"/>
          <w:vertAlign w:val="subscript"/>
        </w:rPr>
        <w:t>ave</w:t>
      </w:r>
      <w:proofErr w:type="spellEnd"/>
      <w:r w:rsidRPr="00721F0B">
        <w:rPr>
          <w:sz w:val="22"/>
        </w:rPr>
        <w:t xml:space="preserve"> is the average apparent magnitude and M is the absolute magnitude</w:t>
      </w:r>
      <w:r w:rsidR="00530CB6">
        <w:rPr>
          <w:sz w:val="22"/>
        </w:rPr>
        <w:t xml:space="preserve">, and </w:t>
      </w:r>
      <w:proofErr w:type="spellStart"/>
      <w:r w:rsidR="00530CB6">
        <w:rPr>
          <w:sz w:val="22"/>
        </w:rPr>
        <w:t>m</w:t>
      </w:r>
      <w:r w:rsidR="00530CB6" w:rsidRPr="00530CB6">
        <w:rPr>
          <w:sz w:val="22"/>
          <w:vertAlign w:val="subscript"/>
        </w:rPr>
        <w:t>ave</w:t>
      </w:r>
      <w:proofErr w:type="spellEnd"/>
      <w:r w:rsidR="00530CB6">
        <w:rPr>
          <w:sz w:val="22"/>
        </w:rPr>
        <w:t>-M is the distance modulus</w:t>
      </w:r>
      <w:r w:rsidRPr="00721F0B">
        <w:rPr>
          <w:sz w:val="22"/>
        </w:rPr>
        <w:t xml:space="preserve">.  </w:t>
      </w:r>
      <w:r w:rsidR="00C31271">
        <w:rPr>
          <w:sz w:val="22"/>
        </w:rPr>
        <w:t>The</w:t>
      </w:r>
      <w:r w:rsidR="00C264F6">
        <w:rPr>
          <w:sz w:val="22"/>
        </w:rPr>
        <w:t xml:space="preserve"> chart below graphs the above relation to convert distance modulus to distance in </w:t>
      </w:r>
      <w:proofErr w:type="spellStart"/>
      <w:r w:rsidR="00C264F6">
        <w:rPr>
          <w:sz w:val="22"/>
        </w:rPr>
        <w:t>megaparsecs</w:t>
      </w:r>
      <w:proofErr w:type="spellEnd"/>
      <w:r w:rsidR="00C31271">
        <w:rPr>
          <w:sz w:val="22"/>
        </w:rPr>
        <w:t xml:space="preserve"> for your convenience</w:t>
      </w:r>
      <w:r w:rsidR="00C264F6">
        <w:rPr>
          <w:sz w:val="22"/>
        </w:rPr>
        <w:t>.</w:t>
      </w:r>
    </w:p>
    <w:p w:rsidR="00C264F6" w:rsidRDefault="00C264F6" w:rsidP="00C264F6">
      <w:pPr>
        <w:spacing w:before="100" w:beforeAutospacing="1" w:after="100" w:afterAutospacing="1"/>
        <w:jc w:val="center"/>
        <w:rPr>
          <w:sz w:val="22"/>
        </w:rPr>
      </w:pPr>
      <w:r w:rsidRPr="00C264F6">
        <w:rPr>
          <w:noProof/>
          <w:sz w:val="22"/>
        </w:rPr>
        <w:drawing>
          <wp:inline distT="0" distB="0" distL="0" distR="0">
            <wp:extent cx="4572000" cy="27432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64F6" w:rsidRDefault="00C264F6" w:rsidP="00F07C29">
      <w:pPr>
        <w:spacing w:before="100" w:beforeAutospacing="1" w:after="100" w:afterAutospacing="1"/>
        <w:rPr>
          <w:sz w:val="22"/>
        </w:rPr>
      </w:pPr>
    </w:p>
    <w:p w:rsidR="00F07C29" w:rsidRPr="00721F0B" w:rsidRDefault="00F07C29" w:rsidP="00F07C29">
      <w:pPr>
        <w:spacing w:before="100" w:beforeAutospacing="1" w:after="100" w:afterAutospacing="1"/>
        <w:rPr>
          <w:b/>
          <w:sz w:val="22"/>
        </w:rPr>
      </w:pPr>
      <w:r w:rsidRPr="00721F0B">
        <w:rPr>
          <w:sz w:val="22"/>
        </w:rPr>
        <w:t>The Cepheid variables in M100 give a wide range of distances.  What are some possible reasons why the distances might vary so much from star to star?</w:t>
      </w:r>
    </w:p>
    <w:p w:rsidR="00F07C29" w:rsidRPr="00721F0B" w:rsidRDefault="00F07C29" w:rsidP="00F07C29">
      <w:pPr>
        <w:spacing w:before="100" w:beforeAutospacing="1" w:after="100" w:afterAutospacing="1"/>
        <w:rPr>
          <w:sz w:val="22"/>
        </w:rPr>
      </w:pPr>
    </w:p>
    <w:p w:rsidR="00F07C29" w:rsidRPr="00721F0B" w:rsidRDefault="00F07C29" w:rsidP="00F07C29">
      <w:pPr>
        <w:spacing w:before="100" w:beforeAutospacing="1" w:after="100" w:afterAutospacing="1"/>
        <w:rPr>
          <w:sz w:val="22"/>
        </w:rPr>
      </w:pPr>
    </w:p>
    <w:p w:rsidR="00F07C29" w:rsidRPr="00721F0B" w:rsidRDefault="00F07C29" w:rsidP="00F07C29">
      <w:pPr>
        <w:spacing w:before="100" w:beforeAutospacing="1" w:after="100" w:afterAutospacing="1"/>
        <w:rPr>
          <w:sz w:val="22"/>
        </w:rPr>
      </w:pPr>
    </w:p>
    <w:p w:rsidR="00F07C29" w:rsidRPr="00721F0B" w:rsidRDefault="00F07C29" w:rsidP="00F07C29">
      <w:pPr>
        <w:spacing w:before="100" w:beforeAutospacing="1" w:after="100" w:afterAutospacing="1"/>
        <w:rPr>
          <w:sz w:val="22"/>
        </w:rPr>
      </w:pPr>
      <w:r w:rsidRPr="00721F0B">
        <w:rPr>
          <w:sz w:val="22"/>
        </w:rPr>
        <w:t xml:space="preserve">Compare the size of M100 to its distance (M100 is similar in size to our own Milky Way, with a diameter of about 30 </w:t>
      </w:r>
      <w:proofErr w:type="spellStart"/>
      <w:r w:rsidRPr="00721F0B">
        <w:rPr>
          <w:sz w:val="22"/>
        </w:rPr>
        <w:t>kiloparsecs</w:t>
      </w:r>
      <w:proofErr w:type="spellEnd"/>
      <w:r w:rsidRPr="00721F0B">
        <w:rPr>
          <w:sz w:val="22"/>
        </w:rPr>
        <w:t xml:space="preserve">).  Could the variation in the distance to M100 from the different Cepheid period measurements result from the difference in location of the Cepheid variables within M100?  </w:t>
      </w:r>
      <w:proofErr w:type="gramStart"/>
      <w:r w:rsidRPr="00721F0B">
        <w:rPr>
          <w:sz w:val="22"/>
        </w:rPr>
        <w:t>Why or why not?</w:t>
      </w:r>
      <w:proofErr w:type="gramEnd"/>
    </w:p>
    <w:p w:rsidR="00F07C29" w:rsidRPr="00721F0B" w:rsidRDefault="00F07C29" w:rsidP="00F07C29">
      <w:pPr>
        <w:spacing w:before="100" w:beforeAutospacing="1" w:after="100" w:afterAutospacing="1"/>
        <w:rPr>
          <w:sz w:val="22"/>
        </w:rPr>
      </w:pPr>
    </w:p>
    <w:p w:rsidR="00F07C29" w:rsidRDefault="00F07C29" w:rsidP="00F07C29">
      <w:pPr>
        <w:spacing w:before="100" w:beforeAutospacing="1" w:after="100" w:afterAutospacing="1"/>
      </w:pPr>
    </w:p>
    <w:p w:rsidR="00F07C29" w:rsidRDefault="00F07C29" w:rsidP="00F07C29">
      <w:pPr>
        <w:spacing w:before="100" w:beforeAutospacing="1" w:after="100" w:afterAutospacing="1"/>
      </w:pPr>
    </w:p>
    <w:p w:rsidR="003026C4" w:rsidRPr="007901B7" w:rsidRDefault="00F07C29" w:rsidP="007901B7">
      <w:pPr>
        <w:spacing w:before="100" w:beforeAutospacing="1" w:after="100" w:afterAutospacing="1"/>
        <w:rPr>
          <w:sz w:val="22"/>
        </w:rPr>
      </w:pPr>
      <w:r w:rsidRPr="00721F0B">
        <w:rPr>
          <w:sz w:val="22"/>
        </w:rPr>
        <w:t>In the original scientific paper reporting on the distance to M100 using the Hubble observations, the distance was calculated to be 17.1 ± 1.8 Mpc (about 56 million light years).  The presence of interstellar dust within M100 causes the apparent magnitudes of the Cepheids to be dimmer than they should be, so that they appear to be more distant than they really are.</w:t>
      </w:r>
    </w:p>
    <w:sectPr w:rsidR="003026C4" w:rsidRPr="007901B7" w:rsidSect="002F254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624" w:rsidRDefault="00A53624">
      <w:r>
        <w:separator/>
      </w:r>
    </w:p>
  </w:endnote>
  <w:endnote w:type="continuationSeparator" w:id="0">
    <w:p w:rsidR="00A53624" w:rsidRDefault="00A53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316"/>
      <w:docPartObj>
        <w:docPartGallery w:val="Page Numbers (Bottom of Page)"/>
        <w:docPartUnique/>
      </w:docPartObj>
    </w:sdtPr>
    <w:sdtContent>
      <w:p w:rsidR="00DB31CB" w:rsidRDefault="00691302">
        <w:pPr>
          <w:pStyle w:val="Footer"/>
          <w:jc w:val="center"/>
        </w:pPr>
        <w:fldSimple w:instr=" PAGE   \* MERGEFORMAT ">
          <w:r w:rsidR="007901B7">
            <w:rPr>
              <w:noProof/>
            </w:rPr>
            <w:t>1</w:t>
          </w:r>
        </w:fldSimple>
      </w:p>
    </w:sdtContent>
  </w:sdt>
  <w:p w:rsidR="00DB31CB" w:rsidRDefault="00DB31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624" w:rsidRDefault="00A53624">
      <w:r>
        <w:separator/>
      </w:r>
    </w:p>
  </w:footnote>
  <w:footnote w:type="continuationSeparator" w:id="0">
    <w:p w:rsidR="00A53624" w:rsidRDefault="00A53624">
      <w:r>
        <w:continuationSeparator/>
      </w:r>
    </w:p>
  </w:footnote>
  <w:footnote w:id="1">
    <w:p w:rsidR="005E10E4" w:rsidRPr="00721F0B" w:rsidRDefault="005E10E4" w:rsidP="005E10E4">
      <w:pPr>
        <w:rPr>
          <w:b/>
          <w:sz w:val="24"/>
          <w:szCs w:val="22"/>
        </w:rPr>
      </w:pPr>
      <w:r>
        <w:rPr>
          <w:rStyle w:val="FootnoteReference"/>
        </w:rPr>
        <w:footnoteRef/>
      </w:r>
      <w:r w:rsidRPr="00721F0B">
        <w:rPr>
          <w:i/>
        </w:rPr>
        <w:t xml:space="preserve">This exercise </w:t>
      </w:r>
      <w:proofErr w:type="gramStart"/>
      <w:r w:rsidRPr="00721F0B">
        <w:rPr>
          <w:i/>
        </w:rPr>
        <w:t>is based</w:t>
      </w:r>
      <w:proofErr w:type="gramEnd"/>
      <w:r w:rsidRPr="00721F0B">
        <w:rPr>
          <w:i/>
        </w:rPr>
        <w:t xml:space="preserve"> on an ESA/ESO Astronomy Exercise, Series 2, and has been adapted for use in our class.  The original data on which the exercise is based were taken from Freedman et al. 1994, Nature, 371, 757</w:t>
      </w:r>
    </w:p>
    <w:p w:rsidR="005E10E4" w:rsidRDefault="005E10E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
    <w:nsid w:val="3E174367"/>
    <w:multiLevelType w:val="hybridMultilevel"/>
    <w:tmpl w:val="36E8BADE"/>
    <w:lvl w:ilvl="0" w:tplc="BC129F4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42E50"/>
    <w:rsid w:val="00064939"/>
    <w:rsid w:val="00073341"/>
    <w:rsid w:val="00086315"/>
    <w:rsid w:val="00092876"/>
    <w:rsid w:val="000B1E3C"/>
    <w:rsid w:val="000E3E48"/>
    <w:rsid w:val="000E4003"/>
    <w:rsid w:val="00103170"/>
    <w:rsid w:val="00104FD2"/>
    <w:rsid w:val="0011220D"/>
    <w:rsid w:val="00112A6E"/>
    <w:rsid w:val="001249FB"/>
    <w:rsid w:val="00126D63"/>
    <w:rsid w:val="00145548"/>
    <w:rsid w:val="001456E0"/>
    <w:rsid w:val="0016380D"/>
    <w:rsid w:val="001645B1"/>
    <w:rsid w:val="00164F5B"/>
    <w:rsid w:val="00171A11"/>
    <w:rsid w:val="00172ABF"/>
    <w:rsid w:val="00194923"/>
    <w:rsid w:val="001B56B5"/>
    <w:rsid w:val="001B782B"/>
    <w:rsid w:val="001C098D"/>
    <w:rsid w:val="001C5F1F"/>
    <w:rsid w:val="001D019F"/>
    <w:rsid w:val="001D0B80"/>
    <w:rsid w:val="001D6632"/>
    <w:rsid w:val="001F2561"/>
    <w:rsid w:val="001F341E"/>
    <w:rsid w:val="001F770D"/>
    <w:rsid w:val="002068B5"/>
    <w:rsid w:val="00223B60"/>
    <w:rsid w:val="002304F7"/>
    <w:rsid w:val="002331D4"/>
    <w:rsid w:val="00234BEB"/>
    <w:rsid w:val="00247BB0"/>
    <w:rsid w:val="002735FD"/>
    <w:rsid w:val="002768AD"/>
    <w:rsid w:val="002905C3"/>
    <w:rsid w:val="002A2266"/>
    <w:rsid w:val="002B0F53"/>
    <w:rsid w:val="002F1431"/>
    <w:rsid w:val="002F2548"/>
    <w:rsid w:val="002F51C3"/>
    <w:rsid w:val="003022CF"/>
    <w:rsid w:val="003026C4"/>
    <w:rsid w:val="00321CD5"/>
    <w:rsid w:val="00331395"/>
    <w:rsid w:val="0034273A"/>
    <w:rsid w:val="00342AFC"/>
    <w:rsid w:val="00377181"/>
    <w:rsid w:val="003944DF"/>
    <w:rsid w:val="003B19F4"/>
    <w:rsid w:val="003C660C"/>
    <w:rsid w:val="003D1AAC"/>
    <w:rsid w:val="00400E03"/>
    <w:rsid w:val="0040417F"/>
    <w:rsid w:val="0041128F"/>
    <w:rsid w:val="00413A4C"/>
    <w:rsid w:val="004151BA"/>
    <w:rsid w:val="00421EF6"/>
    <w:rsid w:val="00423D17"/>
    <w:rsid w:val="00434E5D"/>
    <w:rsid w:val="00435117"/>
    <w:rsid w:val="004507D4"/>
    <w:rsid w:val="0047620D"/>
    <w:rsid w:val="0048573C"/>
    <w:rsid w:val="00487D5A"/>
    <w:rsid w:val="004A12C2"/>
    <w:rsid w:val="004B2272"/>
    <w:rsid w:val="004C0821"/>
    <w:rsid w:val="004F085D"/>
    <w:rsid w:val="004F0F2F"/>
    <w:rsid w:val="00505433"/>
    <w:rsid w:val="00530CB6"/>
    <w:rsid w:val="00531ACA"/>
    <w:rsid w:val="00541E6D"/>
    <w:rsid w:val="00542618"/>
    <w:rsid w:val="00554E15"/>
    <w:rsid w:val="00566B7B"/>
    <w:rsid w:val="00567958"/>
    <w:rsid w:val="00572406"/>
    <w:rsid w:val="00575886"/>
    <w:rsid w:val="00586803"/>
    <w:rsid w:val="00592992"/>
    <w:rsid w:val="005A467C"/>
    <w:rsid w:val="005E10E4"/>
    <w:rsid w:val="005E26E1"/>
    <w:rsid w:val="005E3D60"/>
    <w:rsid w:val="005E5868"/>
    <w:rsid w:val="005E738A"/>
    <w:rsid w:val="005F6901"/>
    <w:rsid w:val="00603C65"/>
    <w:rsid w:val="00607890"/>
    <w:rsid w:val="00612697"/>
    <w:rsid w:val="00613C9A"/>
    <w:rsid w:val="00624DAF"/>
    <w:rsid w:val="006266DF"/>
    <w:rsid w:val="00630D7A"/>
    <w:rsid w:val="00637E5C"/>
    <w:rsid w:val="006436B1"/>
    <w:rsid w:val="00643D0B"/>
    <w:rsid w:val="006602E6"/>
    <w:rsid w:val="006659F5"/>
    <w:rsid w:val="00683307"/>
    <w:rsid w:val="00690547"/>
    <w:rsid w:val="00691302"/>
    <w:rsid w:val="00691A8B"/>
    <w:rsid w:val="00692ECF"/>
    <w:rsid w:val="0069702B"/>
    <w:rsid w:val="006A3597"/>
    <w:rsid w:val="006B25BB"/>
    <w:rsid w:val="006B2958"/>
    <w:rsid w:val="006E0BA4"/>
    <w:rsid w:val="006E465A"/>
    <w:rsid w:val="006F26F9"/>
    <w:rsid w:val="00707328"/>
    <w:rsid w:val="0070781C"/>
    <w:rsid w:val="00717AC1"/>
    <w:rsid w:val="00721F0B"/>
    <w:rsid w:val="00727874"/>
    <w:rsid w:val="00727DD8"/>
    <w:rsid w:val="007310D7"/>
    <w:rsid w:val="0074124A"/>
    <w:rsid w:val="007426FF"/>
    <w:rsid w:val="0078329B"/>
    <w:rsid w:val="00787ECC"/>
    <w:rsid w:val="007901B7"/>
    <w:rsid w:val="007910D0"/>
    <w:rsid w:val="0079438F"/>
    <w:rsid w:val="007A1AFC"/>
    <w:rsid w:val="007A2F0A"/>
    <w:rsid w:val="007C7C22"/>
    <w:rsid w:val="007D192D"/>
    <w:rsid w:val="007D566F"/>
    <w:rsid w:val="007E00A3"/>
    <w:rsid w:val="007F1050"/>
    <w:rsid w:val="007F42D1"/>
    <w:rsid w:val="007F7DB5"/>
    <w:rsid w:val="008078FC"/>
    <w:rsid w:val="00810FA5"/>
    <w:rsid w:val="00812FE8"/>
    <w:rsid w:val="00814BDF"/>
    <w:rsid w:val="00822D96"/>
    <w:rsid w:val="00826D9A"/>
    <w:rsid w:val="00827B6A"/>
    <w:rsid w:val="0083726F"/>
    <w:rsid w:val="00837BF5"/>
    <w:rsid w:val="0084040D"/>
    <w:rsid w:val="00846101"/>
    <w:rsid w:val="00846764"/>
    <w:rsid w:val="0085438E"/>
    <w:rsid w:val="008B40CE"/>
    <w:rsid w:val="008D0BED"/>
    <w:rsid w:val="008D19BF"/>
    <w:rsid w:val="008D29A3"/>
    <w:rsid w:val="008D4543"/>
    <w:rsid w:val="008D6358"/>
    <w:rsid w:val="008E3FEF"/>
    <w:rsid w:val="008F2292"/>
    <w:rsid w:val="008F2951"/>
    <w:rsid w:val="0090252F"/>
    <w:rsid w:val="00913DDE"/>
    <w:rsid w:val="00921F1F"/>
    <w:rsid w:val="009263AA"/>
    <w:rsid w:val="009379F2"/>
    <w:rsid w:val="00943D28"/>
    <w:rsid w:val="00945436"/>
    <w:rsid w:val="009479DB"/>
    <w:rsid w:val="009766F6"/>
    <w:rsid w:val="00992295"/>
    <w:rsid w:val="009A3301"/>
    <w:rsid w:val="009A3C39"/>
    <w:rsid w:val="009A7914"/>
    <w:rsid w:val="009B752F"/>
    <w:rsid w:val="009C5B40"/>
    <w:rsid w:val="009E7BAE"/>
    <w:rsid w:val="00A01ECD"/>
    <w:rsid w:val="00A1457B"/>
    <w:rsid w:val="00A22DB4"/>
    <w:rsid w:val="00A25889"/>
    <w:rsid w:val="00A27985"/>
    <w:rsid w:val="00A33425"/>
    <w:rsid w:val="00A36B26"/>
    <w:rsid w:val="00A42AAD"/>
    <w:rsid w:val="00A519EF"/>
    <w:rsid w:val="00A53624"/>
    <w:rsid w:val="00A54BBB"/>
    <w:rsid w:val="00A718D6"/>
    <w:rsid w:val="00A913F3"/>
    <w:rsid w:val="00A94AC9"/>
    <w:rsid w:val="00A95DDA"/>
    <w:rsid w:val="00AA5526"/>
    <w:rsid w:val="00AB0E36"/>
    <w:rsid w:val="00AB57CE"/>
    <w:rsid w:val="00AD3B6F"/>
    <w:rsid w:val="00AD7351"/>
    <w:rsid w:val="00B036F2"/>
    <w:rsid w:val="00B12AF0"/>
    <w:rsid w:val="00B26FA8"/>
    <w:rsid w:val="00B30CA3"/>
    <w:rsid w:val="00B34365"/>
    <w:rsid w:val="00B36C0D"/>
    <w:rsid w:val="00B452AD"/>
    <w:rsid w:val="00B51FF3"/>
    <w:rsid w:val="00B6673C"/>
    <w:rsid w:val="00B97EE0"/>
    <w:rsid w:val="00BA0D4A"/>
    <w:rsid w:val="00BB0029"/>
    <w:rsid w:val="00BB34B7"/>
    <w:rsid w:val="00BB6CC2"/>
    <w:rsid w:val="00BB7584"/>
    <w:rsid w:val="00BD3477"/>
    <w:rsid w:val="00BD49D0"/>
    <w:rsid w:val="00BE3A0D"/>
    <w:rsid w:val="00BE55AA"/>
    <w:rsid w:val="00C0524E"/>
    <w:rsid w:val="00C12A7C"/>
    <w:rsid w:val="00C264F6"/>
    <w:rsid w:val="00C31271"/>
    <w:rsid w:val="00C40B86"/>
    <w:rsid w:val="00C4415E"/>
    <w:rsid w:val="00C500B1"/>
    <w:rsid w:val="00C50603"/>
    <w:rsid w:val="00C56DC7"/>
    <w:rsid w:val="00C90F21"/>
    <w:rsid w:val="00C92438"/>
    <w:rsid w:val="00CA3344"/>
    <w:rsid w:val="00CB58AF"/>
    <w:rsid w:val="00CB6818"/>
    <w:rsid w:val="00CE2241"/>
    <w:rsid w:val="00CF7EA7"/>
    <w:rsid w:val="00D02D4D"/>
    <w:rsid w:val="00D06A44"/>
    <w:rsid w:val="00D23316"/>
    <w:rsid w:val="00D36919"/>
    <w:rsid w:val="00D56813"/>
    <w:rsid w:val="00D6240F"/>
    <w:rsid w:val="00D628DE"/>
    <w:rsid w:val="00D63BD2"/>
    <w:rsid w:val="00D704D5"/>
    <w:rsid w:val="00D70EFE"/>
    <w:rsid w:val="00D770E0"/>
    <w:rsid w:val="00D90A1D"/>
    <w:rsid w:val="00D91BDD"/>
    <w:rsid w:val="00D95D36"/>
    <w:rsid w:val="00D97BFD"/>
    <w:rsid w:val="00DA1AB8"/>
    <w:rsid w:val="00DB31CB"/>
    <w:rsid w:val="00DC1BFD"/>
    <w:rsid w:val="00DD0DD5"/>
    <w:rsid w:val="00DD2B16"/>
    <w:rsid w:val="00DD62BC"/>
    <w:rsid w:val="00DE7F93"/>
    <w:rsid w:val="00DF3340"/>
    <w:rsid w:val="00E04281"/>
    <w:rsid w:val="00E11059"/>
    <w:rsid w:val="00E142A8"/>
    <w:rsid w:val="00E146B7"/>
    <w:rsid w:val="00E20B88"/>
    <w:rsid w:val="00E26DD0"/>
    <w:rsid w:val="00E2798A"/>
    <w:rsid w:val="00E41C41"/>
    <w:rsid w:val="00E4793E"/>
    <w:rsid w:val="00E54DE2"/>
    <w:rsid w:val="00E65882"/>
    <w:rsid w:val="00E67BCE"/>
    <w:rsid w:val="00E717ED"/>
    <w:rsid w:val="00E87FA8"/>
    <w:rsid w:val="00E94BFF"/>
    <w:rsid w:val="00E9634D"/>
    <w:rsid w:val="00EA5F73"/>
    <w:rsid w:val="00EB38A8"/>
    <w:rsid w:val="00EB478F"/>
    <w:rsid w:val="00EC1F24"/>
    <w:rsid w:val="00EC74BA"/>
    <w:rsid w:val="00ED00C3"/>
    <w:rsid w:val="00ED25AF"/>
    <w:rsid w:val="00EE301E"/>
    <w:rsid w:val="00EF5793"/>
    <w:rsid w:val="00EF7B71"/>
    <w:rsid w:val="00F01E24"/>
    <w:rsid w:val="00F027FD"/>
    <w:rsid w:val="00F07457"/>
    <w:rsid w:val="00F07C29"/>
    <w:rsid w:val="00F10451"/>
    <w:rsid w:val="00F1274F"/>
    <w:rsid w:val="00F17A69"/>
    <w:rsid w:val="00F3403A"/>
    <w:rsid w:val="00F4051C"/>
    <w:rsid w:val="00F41A06"/>
    <w:rsid w:val="00F41F5F"/>
    <w:rsid w:val="00F46596"/>
    <w:rsid w:val="00F51C24"/>
    <w:rsid w:val="00F65AD9"/>
    <w:rsid w:val="00F660E9"/>
    <w:rsid w:val="00F700CC"/>
    <w:rsid w:val="00F77A0A"/>
    <w:rsid w:val="00F8674F"/>
    <w:rsid w:val="00F87ACC"/>
    <w:rsid w:val="00F95B25"/>
    <w:rsid w:val="00F973A0"/>
    <w:rsid w:val="00FA0496"/>
    <w:rsid w:val="00FA7DDD"/>
    <w:rsid w:val="00FC4253"/>
    <w:rsid w:val="00FD4417"/>
    <w:rsid w:val="00FD507E"/>
    <w:rsid w:val="00FE642D"/>
    <w:rsid w:val="00FF0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F1274F"/>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274F"/>
    <w:rPr>
      <w:color w:val="0000FF"/>
      <w:u w:val="single"/>
    </w:rPr>
  </w:style>
  <w:style w:type="character" w:styleId="FollowedHyperlink">
    <w:name w:val="FollowedHyperlink"/>
    <w:basedOn w:val="DefaultParagraphFont"/>
    <w:rsid w:val="00F1274F"/>
    <w:rPr>
      <w:color w:val="800080"/>
      <w:u w:val="single"/>
    </w:rPr>
  </w:style>
  <w:style w:type="paragraph" w:styleId="Header">
    <w:name w:val="header"/>
    <w:basedOn w:val="Normal"/>
    <w:rsid w:val="00F1274F"/>
    <w:pPr>
      <w:tabs>
        <w:tab w:val="center" w:pos="4320"/>
        <w:tab w:val="right" w:pos="8640"/>
      </w:tabs>
    </w:pPr>
  </w:style>
  <w:style w:type="paragraph" w:styleId="Footer">
    <w:name w:val="footer"/>
    <w:basedOn w:val="Normal"/>
    <w:link w:val="FooterChar"/>
    <w:uiPriority w:val="99"/>
    <w:rsid w:val="00F1274F"/>
    <w:pPr>
      <w:tabs>
        <w:tab w:val="center" w:pos="4320"/>
        <w:tab w:val="right" w:pos="8640"/>
      </w:tabs>
    </w:pPr>
  </w:style>
  <w:style w:type="character" w:styleId="PageNumber">
    <w:name w:val="page number"/>
    <w:basedOn w:val="DefaultParagraphFont"/>
    <w:rsid w:val="00F1274F"/>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D7351"/>
    <w:pPr>
      <w:spacing w:before="120" w:after="120"/>
    </w:pPr>
    <w:rPr>
      <w:rFonts w:ascii="Times New Roman" w:hAnsi="Times New Roman" w:cs="Times New Roman"/>
      <w:b/>
      <w:bCs/>
      <w:color w:val="000000"/>
    </w:rPr>
  </w:style>
  <w:style w:type="paragraph" w:styleId="BodyText">
    <w:name w:val="Body Text"/>
    <w:basedOn w:val="Normal"/>
    <w:rsid w:val="00D770E0"/>
    <w:rPr>
      <w:rFonts w:ascii="Times New Roman" w:hAnsi="Times New Roman" w:cs="Times New Roman"/>
      <w:sz w:val="22"/>
      <w:szCs w:val="24"/>
    </w:rPr>
  </w:style>
  <w:style w:type="paragraph" w:styleId="FootnoteText">
    <w:name w:val="footnote text"/>
    <w:basedOn w:val="Normal"/>
    <w:semiHidden/>
    <w:rsid w:val="00E20B88"/>
    <w:rPr>
      <w:rFonts w:ascii="Times New Roman" w:hAnsi="Times New Roman" w:cs="Times New Roman"/>
      <w:color w:val="000000"/>
    </w:rPr>
  </w:style>
  <w:style w:type="character" w:styleId="FootnoteReference">
    <w:name w:val="footnote reference"/>
    <w:basedOn w:val="DefaultParagraphFont"/>
    <w:semiHidden/>
    <w:rsid w:val="00E20B88"/>
    <w:rPr>
      <w:vertAlign w:val="superscript"/>
    </w:rPr>
  </w:style>
  <w:style w:type="character" w:styleId="PlaceholderText">
    <w:name w:val="Placeholder Text"/>
    <w:basedOn w:val="DefaultParagraphFont"/>
    <w:uiPriority w:val="99"/>
    <w:semiHidden/>
    <w:rsid w:val="00826D9A"/>
    <w:rPr>
      <w:color w:val="808080"/>
    </w:rPr>
  </w:style>
  <w:style w:type="character" w:customStyle="1" w:styleId="FooterChar">
    <w:name w:val="Footer Char"/>
    <w:basedOn w:val="DefaultParagraphFont"/>
    <w:link w:val="Footer"/>
    <w:uiPriority w:val="99"/>
    <w:rsid w:val="00DB31CB"/>
    <w:rPr>
      <w:rFonts w:ascii="Arial" w:hAnsi="Arial" w:cs="Arial"/>
    </w:rPr>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1"/>
          <c:order val="0"/>
          <c:spPr>
            <a:ln w="12700">
              <a:solidFill>
                <a:sysClr val="windowText" lastClr="000000"/>
              </a:solidFill>
            </a:ln>
          </c:spPr>
          <c:marker>
            <c:symbol val="none"/>
          </c:marker>
          <c:xVal>
            <c:numRef>
              <c:f>Sheet1!$A$14:$A$33</c:f>
              <c:numCache>
                <c:formatCode>General</c:formatCode>
                <c:ptCount val="20"/>
                <c:pt idx="0">
                  <c:v>30</c:v>
                </c:pt>
                <c:pt idx="1">
                  <c:v>30.2</c:v>
                </c:pt>
                <c:pt idx="2">
                  <c:v>30.4</c:v>
                </c:pt>
                <c:pt idx="3">
                  <c:v>30.5</c:v>
                </c:pt>
                <c:pt idx="4">
                  <c:v>30.6</c:v>
                </c:pt>
                <c:pt idx="5">
                  <c:v>30.8</c:v>
                </c:pt>
                <c:pt idx="6">
                  <c:v>31</c:v>
                </c:pt>
                <c:pt idx="7">
                  <c:v>31.2</c:v>
                </c:pt>
                <c:pt idx="8">
                  <c:v>31.4</c:v>
                </c:pt>
                <c:pt idx="9">
                  <c:v>31.6</c:v>
                </c:pt>
                <c:pt idx="10">
                  <c:v>31.8</c:v>
                </c:pt>
                <c:pt idx="11">
                  <c:v>32</c:v>
                </c:pt>
                <c:pt idx="12">
                  <c:v>32.200000000000003</c:v>
                </c:pt>
                <c:pt idx="13">
                  <c:v>32.4</c:v>
                </c:pt>
                <c:pt idx="14">
                  <c:v>32.6</c:v>
                </c:pt>
                <c:pt idx="15">
                  <c:v>32.800000000000004</c:v>
                </c:pt>
                <c:pt idx="16">
                  <c:v>33</c:v>
                </c:pt>
              </c:numCache>
            </c:numRef>
          </c:xVal>
          <c:yVal>
            <c:numRef>
              <c:f>Sheet1!$B$14:$B$33</c:f>
              <c:numCache>
                <c:formatCode>General</c:formatCode>
                <c:ptCount val="20"/>
                <c:pt idx="0">
                  <c:v>10</c:v>
                </c:pt>
                <c:pt idx="1">
                  <c:v>10.964781961431868</c:v>
                </c:pt>
                <c:pt idx="2">
                  <c:v>12.022644346174134</c:v>
                </c:pt>
                <c:pt idx="3">
                  <c:v>12.589254117941676</c:v>
                </c:pt>
                <c:pt idx="4">
                  <c:v>13.182567385564075</c:v>
                </c:pt>
                <c:pt idx="5">
                  <c:v>14.454397707459256</c:v>
                </c:pt>
                <c:pt idx="6">
                  <c:v>15.848931924611117</c:v>
                </c:pt>
                <c:pt idx="7">
                  <c:v>17.378008287493763</c:v>
                </c:pt>
                <c:pt idx="8">
                  <c:v>19.054607179632455</c:v>
                </c:pt>
                <c:pt idx="9">
                  <c:v>20.892961308540457</c:v>
                </c:pt>
                <c:pt idx="10">
                  <c:v>22.908676527677663</c:v>
                </c:pt>
                <c:pt idx="11">
                  <c:v>25.118864315095895</c:v>
                </c:pt>
                <c:pt idx="12">
                  <c:v>27.542287033381644</c:v>
                </c:pt>
                <c:pt idx="13">
                  <c:v>30.199517204020129</c:v>
                </c:pt>
                <c:pt idx="14">
                  <c:v>33.11311214825929</c:v>
                </c:pt>
                <c:pt idx="15">
                  <c:v>36.307805477009971</c:v>
                </c:pt>
                <c:pt idx="16">
                  <c:v>39.810717055349535</c:v>
                </c:pt>
              </c:numCache>
            </c:numRef>
          </c:yVal>
        </c:ser>
        <c:axId val="49048192"/>
        <c:axId val="100156160"/>
      </c:scatterChart>
      <c:valAx>
        <c:axId val="49048192"/>
        <c:scaling>
          <c:orientation val="minMax"/>
          <c:max val="32.5"/>
          <c:min val="30"/>
        </c:scaling>
        <c:axPos val="b"/>
        <c:minorGridlines/>
        <c:title>
          <c:tx>
            <c:rich>
              <a:bodyPr/>
              <a:lstStyle/>
              <a:p>
                <a:pPr>
                  <a:defRPr/>
                </a:pPr>
                <a:r>
                  <a:rPr lang="en-US"/>
                  <a:t>Distance Modulus (apparent - absolute magnitude)</a:t>
                </a:r>
              </a:p>
            </c:rich>
          </c:tx>
        </c:title>
        <c:numFmt formatCode="General" sourceLinked="1"/>
        <c:majorTickMark val="cross"/>
        <c:minorTickMark val="in"/>
        <c:tickLblPos val="nextTo"/>
        <c:spPr>
          <a:ln>
            <a:solidFill>
              <a:sysClr val="windowText" lastClr="000000"/>
            </a:solidFill>
          </a:ln>
        </c:spPr>
        <c:crossAx val="100156160"/>
        <c:crosses val="autoZero"/>
        <c:crossBetween val="midCat"/>
        <c:majorUnit val="0.5"/>
        <c:minorUnit val="0.1"/>
      </c:valAx>
      <c:valAx>
        <c:axId val="100156160"/>
        <c:scaling>
          <c:orientation val="minMax"/>
          <c:max val="30"/>
          <c:min val="10"/>
        </c:scaling>
        <c:axPos val="l"/>
        <c:minorGridlines/>
        <c:title>
          <c:tx>
            <c:rich>
              <a:bodyPr rot="-5400000" vert="horz"/>
              <a:lstStyle/>
              <a:p>
                <a:pPr>
                  <a:defRPr/>
                </a:pPr>
                <a:r>
                  <a:rPr lang="en-US"/>
                  <a:t>Distance in Megaparsecs</a:t>
                </a:r>
              </a:p>
            </c:rich>
          </c:tx>
        </c:title>
        <c:numFmt formatCode="General" sourceLinked="1"/>
        <c:majorTickMark val="cross"/>
        <c:minorTickMark val="in"/>
        <c:tickLblPos val="nextTo"/>
        <c:spPr>
          <a:ln>
            <a:solidFill>
              <a:schemeClr val="tx1"/>
            </a:solidFill>
          </a:ln>
        </c:spPr>
        <c:crossAx val="49048192"/>
        <c:crosses val="autoZero"/>
        <c:crossBetween val="midCat"/>
        <c:majorUnit val="5"/>
        <c:minorUnit val="1"/>
      </c:valAx>
      <c:spPr>
        <a:ln>
          <a:solidFill>
            <a:sysClr val="windowText" lastClr="000000"/>
          </a:solidFill>
        </a:ln>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A0929-5E5B-4493-B89A-14527C49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3568</CharactersWithSpaces>
  <SharedDoc>false</SharedDoc>
  <HLinks>
    <vt:vector size="12" baseType="variant">
      <vt:variant>
        <vt:i4>5701661</vt:i4>
      </vt:variant>
      <vt:variant>
        <vt:i4>18</vt:i4>
      </vt:variant>
      <vt:variant>
        <vt:i4>0</vt:i4>
      </vt:variant>
      <vt:variant>
        <vt:i4>5</vt:i4>
      </vt:variant>
      <vt:variant>
        <vt:lpwstr>http://www.astro.princeton.edu/~clark/SNLab.html</vt:lpwstr>
      </vt:variant>
      <vt:variant>
        <vt:lpwstr/>
      </vt:variant>
      <vt:variant>
        <vt:i4>5832771</vt:i4>
      </vt:variant>
      <vt:variant>
        <vt:i4>3</vt:i4>
      </vt:variant>
      <vt:variant>
        <vt:i4>0</vt:i4>
      </vt:variant>
      <vt:variant>
        <vt:i4>5</vt:i4>
      </vt:variant>
      <vt:variant>
        <vt:lpwstr>http://www.astro.washington.edu/courses/astro211/HubbleLaw/galaxies.html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2013-03-15T13:34:00Z</cp:lastPrinted>
  <dcterms:created xsi:type="dcterms:W3CDTF">2013-03-25T23:56:00Z</dcterms:created>
  <dcterms:modified xsi:type="dcterms:W3CDTF">2013-03-25T23:56:00Z</dcterms:modified>
</cp:coreProperties>
</file>